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71"/>
        <w:gridCol w:w="493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7CC586B2" w14:textId="77777777" w:rsidR="00AD7BE0" w:rsidRDefault="00AD7BE0" w:rsidP="00AD7BE0">
            <w:pPr>
              <w:pStyle w:val="Infotext"/>
              <w:rPr>
                <w:rFonts w:ascii="Arial Black" w:hAnsi="Arial Black" w:cs="Arial"/>
                <w:sz w:val="36"/>
                <w:szCs w:val="36"/>
              </w:rPr>
            </w:pPr>
            <w:r w:rsidRPr="0012522B">
              <w:rPr>
                <w:rFonts w:ascii="Arial Black" w:hAnsi="Arial Black" w:cs="Arial"/>
                <w:sz w:val="36"/>
                <w:szCs w:val="36"/>
              </w:rPr>
              <w:t>GOVERNANCE, AUDIT, RISK MANAGEMENT and STANDARDS COMMITTEE</w:t>
            </w:r>
            <w:r>
              <w:rPr>
                <w:rFonts w:ascii="Arial Black" w:hAnsi="Arial Black" w:cs="Arial"/>
                <w:sz w:val="36"/>
                <w:szCs w:val="36"/>
              </w:rPr>
              <w:t xml:space="preserve"> </w:t>
            </w:r>
          </w:p>
          <w:p w14:paraId="55A88F66" w14:textId="77777777" w:rsidR="00A160B2" w:rsidRPr="00A160B2" w:rsidRDefault="00A160B2" w:rsidP="006C3150">
            <w:pPr>
              <w:pStyle w:val="Heading1"/>
              <w:outlineLvl w:val="0"/>
              <w:rPr>
                <w:color w:val="0000FF"/>
                <w:szCs w:val="24"/>
              </w:rPr>
            </w:pPr>
            <w:r w:rsidRPr="00A160B2">
              <w:rPr>
                <w:color w:val="0000FF"/>
              </w:rPr>
              <w:t xml:space="preserve">(Non-Executive)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5D6FBFB2" w:rsidR="00A160B2" w:rsidRDefault="00894468" w:rsidP="006C3150">
            <w:pPr>
              <w:pStyle w:val="Infotext"/>
              <w:rPr>
                <w:rFonts w:cs="Arial"/>
              </w:rPr>
            </w:pPr>
            <w:r>
              <w:rPr>
                <w:rFonts w:cs="Arial"/>
              </w:rPr>
              <w:t>2</w:t>
            </w:r>
            <w:r w:rsidRPr="00894468">
              <w:rPr>
                <w:rFonts w:cs="Arial"/>
                <w:vertAlign w:val="superscript"/>
              </w:rPr>
              <w:t>nd</w:t>
            </w:r>
            <w:r>
              <w:rPr>
                <w:rFonts w:cs="Arial"/>
              </w:rPr>
              <w:t xml:space="preserve"> August </w:t>
            </w:r>
            <w:r w:rsidR="00AD7BE0">
              <w:rPr>
                <w:rFonts w:cs="Arial"/>
              </w:rPr>
              <w:t>202</w:t>
            </w:r>
            <w:r>
              <w:rPr>
                <w:rFonts w:cs="Arial"/>
              </w:rPr>
              <w:t>2</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0BBA4BE5" w:rsidR="00A160B2" w:rsidRDefault="00AD7BE0" w:rsidP="006C3150">
            <w:pPr>
              <w:pStyle w:val="Infotext"/>
              <w:rPr>
                <w:rFonts w:cs="Arial"/>
              </w:rPr>
            </w:pPr>
            <w:r>
              <w:rPr>
                <w:rFonts w:cs="Arial"/>
              </w:rPr>
              <w:t>Draft Annual Governance Statement 202</w:t>
            </w:r>
            <w:r w:rsidR="00894468">
              <w:rPr>
                <w:rFonts w:cs="Arial"/>
              </w:rPr>
              <w:t>1</w:t>
            </w:r>
            <w:r>
              <w:rPr>
                <w:rFonts w:cs="Arial"/>
              </w:rPr>
              <w:t>/2</w:t>
            </w:r>
            <w:r w:rsidR="00894468">
              <w:rPr>
                <w:rFonts w:cs="Arial"/>
              </w:rPr>
              <w:t>2</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639A37AE" w:rsidR="00A160B2" w:rsidRDefault="00AD7BE0" w:rsidP="006C3150">
            <w:pPr>
              <w:pStyle w:val="Infotext"/>
              <w:rPr>
                <w:rFonts w:cs="Arial"/>
              </w:rPr>
            </w:pPr>
            <w:r>
              <w:rPr>
                <w:rFonts w:cs="Arial"/>
              </w:rPr>
              <w:t>Dawn Calvert, Director of Finance &amp;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543E4D0B" w:rsidR="00A160B2" w:rsidRDefault="00A160B2" w:rsidP="006C3150">
            <w:pPr>
              <w:pStyle w:val="Infotext"/>
              <w:rPr>
                <w:rFonts w:cs="Arial"/>
              </w:rPr>
            </w:pPr>
            <w:r>
              <w:rPr>
                <w:rFonts w:cs="Arial"/>
              </w:rPr>
              <w:t>No</w:t>
            </w:r>
          </w:p>
          <w:p w14:paraId="4C873B59" w14:textId="77777777" w:rsidR="00A160B2" w:rsidRDefault="00A160B2" w:rsidP="00AD7BE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5CB026A9" w:rsidR="00A160B2" w:rsidRDefault="00AD7BE0" w:rsidP="00AD7BE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7D829F7C" w:rsidR="00A160B2" w:rsidRDefault="00AD7BE0" w:rsidP="006C3150">
            <w:pPr>
              <w:pStyle w:val="Infotext"/>
            </w:pPr>
            <w:r>
              <w:t>Appendix 1 – Draft Annual Governance Statement 202</w:t>
            </w:r>
            <w:r w:rsidR="00894468">
              <w:t>1</w:t>
            </w:r>
            <w:r>
              <w:t>/2</w:t>
            </w:r>
            <w:r w:rsidR="00894468">
              <w:t>2</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D7BE0">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D7BE0">
        <w:trPr>
          <w:tblHeader/>
        </w:trPr>
        <w:tc>
          <w:tcPr>
            <w:tcW w:w="8309" w:type="dxa"/>
            <w:tcBorders>
              <w:left w:val="nil"/>
              <w:bottom w:val="nil"/>
              <w:right w:val="nil"/>
            </w:tcBorders>
          </w:tcPr>
          <w:p w14:paraId="4124675E" w14:textId="522B05A2" w:rsidR="00A160B2" w:rsidRPr="00905111" w:rsidRDefault="00A160B2" w:rsidP="00A160B2">
            <w:r w:rsidRPr="00905111">
              <w:t>This report sets out</w:t>
            </w:r>
            <w:r w:rsidR="00AD7BE0" w:rsidRPr="00905111">
              <w:t xml:space="preserve"> the </w:t>
            </w:r>
            <w:r w:rsidR="00905111">
              <w:t xml:space="preserve">annual governance process and the </w:t>
            </w:r>
            <w:r w:rsidR="00AD7BE0" w:rsidRPr="00905111">
              <w:t>Draft Annual Governance Statement (AGS) 202</w:t>
            </w:r>
            <w:r w:rsidR="00894468">
              <w:t>1</w:t>
            </w:r>
            <w:r w:rsidR="00AD7BE0" w:rsidRPr="00905111">
              <w:t>/2</w:t>
            </w:r>
            <w:r w:rsidR="00894468">
              <w:t>2</w:t>
            </w:r>
            <w:r w:rsidR="00AD7BE0" w:rsidRPr="00905111">
              <w:t xml:space="preserve"> for information.</w:t>
            </w:r>
          </w:p>
          <w:p w14:paraId="2C9E4A81" w14:textId="77777777" w:rsidR="00A160B2" w:rsidRPr="00905111" w:rsidRDefault="00A160B2" w:rsidP="00A160B2">
            <w:pPr>
              <w:rPr>
                <w:rFonts w:ascii="Arial Bold" w:hAnsi="Arial Bold"/>
                <w:b/>
                <w:sz w:val="28"/>
              </w:rPr>
            </w:pPr>
          </w:p>
          <w:p w14:paraId="714CBDEE" w14:textId="594729FB" w:rsidR="00A160B2" w:rsidRDefault="00A160B2" w:rsidP="00A160B2">
            <w:r>
              <w:t xml:space="preserve"> </w:t>
            </w:r>
          </w:p>
        </w:tc>
      </w:tr>
    </w:tbl>
    <w:p w14:paraId="7D956797" w14:textId="77777777" w:rsidR="00AD7BE0" w:rsidRDefault="00AD7BE0" w:rsidP="00A160B2">
      <w:pPr>
        <w:pStyle w:val="Heading2"/>
      </w:pPr>
      <w:r>
        <w:br/>
      </w:r>
    </w:p>
    <w:p w14:paraId="7E5F8E4D" w14:textId="77777777" w:rsidR="00AD7BE0" w:rsidRDefault="00AD7BE0">
      <w:pPr>
        <w:rPr>
          <w:rFonts w:ascii="Arial Black" w:hAnsi="Arial Black" w:cs="Arial"/>
          <w:bCs/>
          <w:sz w:val="32"/>
          <w:szCs w:val="32"/>
        </w:rPr>
      </w:pPr>
      <w:r>
        <w:br w:type="page"/>
      </w:r>
    </w:p>
    <w:p w14:paraId="7EAFAC17" w14:textId="49169E40" w:rsidR="00213BE7" w:rsidRDefault="002A2389" w:rsidP="00AD7BE0">
      <w:pPr>
        <w:pStyle w:val="Heading2"/>
      </w:pPr>
      <w:r>
        <w:lastRenderedPageBreak/>
        <w:t>Section 2 – Report</w:t>
      </w:r>
    </w:p>
    <w:p w14:paraId="03C1D4B2" w14:textId="07A8470E" w:rsidR="00AD7BE0" w:rsidRPr="00AD7BE0" w:rsidRDefault="00AD7BE0" w:rsidP="00AD7BE0">
      <w:pPr>
        <w:rPr>
          <w:b/>
          <w:bCs/>
        </w:rPr>
      </w:pPr>
      <w:r w:rsidRPr="00AD7BE0">
        <w:rPr>
          <w:b/>
          <w:bCs/>
        </w:rPr>
        <w:t>Introduction</w:t>
      </w:r>
    </w:p>
    <w:p w14:paraId="5DBA8BF2" w14:textId="77777777" w:rsidR="00AD7BE0" w:rsidRPr="00AD7BE0" w:rsidRDefault="00AD7BE0" w:rsidP="00AD7BE0"/>
    <w:p w14:paraId="08883A34" w14:textId="77777777" w:rsidR="00AD7BE0" w:rsidRPr="0012522B" w:rsidRDefault="00AD7BE0" w:rsidP="00AD7BE0">
      <w:pPr>
        <w:ind w:left="561" w:hanging="561"/>
        <w:rPr>
          <w:szCs w:val="24"/>
        </w:rPr>
      </w:pPr>
      <w:r w:rsidRPr="0012522B">
        <w:rPr>
          <w:szCs w:val="24"/>
        </w:rPr>
        <w:t>2.1</w:t>
      </w:r>
      <w:r w:rsidRPr="0012522B">
        <w:rPr>
          <w:szCs w:val="24"/>
        </w:rPr>
        <w:tab/>
        <w:t xml:space="preserve">Harrow Council is responsible for ensuring that its business is conducted in accordance with the law and proper standards, and that public money is safeguarded and properly accounted for, and used economically, </w:t>
      </w:r>
      <w:proofErr w:type="gramStart"/>
      <w:r w:rsidRPr="0012522B">
        <w:rPr>
          <w:szCs w:val="24"/>
        </w:rPr>
        <w:t>efficiently</w:t>
      </w:r>
      <w:proofErr w:type="gramEnd"/>
      <w:r w:rsidRPr="0012522B">
        <w:rPr>
          <w:szCs w:val="24"/>
        </w:rPr>
        <w:t xml:space="preserve"> and effectively. The Council also has a duty under section 3 of the Local Government Act 1999 to </w:t>
      </w:r>
      <w:proofErr w:type="gramStart"/>
      <w:r w:rsidRPr="0012522B">
        <w:rPr>
          <w:szCs w:val="24"/>
        </w:rPr>
        <w:t>make arrangements</w:t>
      </w:r>
      <w:proofErr w:type="gramEnd"/>
      <w:r w:rsidRPr="0012522B">
        <w:rPr>
          <w:szCs w:val="24"/>
        </w:rPr>
        <w:t xml:space="preserve"> to secure continuous improvement in the way in which its functions are exercised, having regard to a combination of economy, efficiency and effectiveness.</w:t>
      </w:r>
    </w:p>
    <w:p w14:paraId="6D2D8E7E" w14:textId="77777777" w:rsidR="00AD7BE0" w:rsidRPr="0012522B" w:rsidRDefault="00AD7BE0" w:rsidP="00AD7BE0">
      <w:pPr>
        <w:outlineLvl w:val="1"/>
        <w:rPr>
          <w:rFonts w:cs="Arial"/>
          <w:bCs/>
          <w:szCs w:val="24"/>
        </w:rPr>
      </w:pPr>
    </w:p>
    <w:p w14:paraId="07C05B0F" w14:textId="77777777" w:rsidR="00AD7BE0" w:rsidRPr="0012522B" w:rsidRDefault="00AD7BE0" w:rsidP="00AD7BE0">
      <w:pPr>
        <w:ind w:left="561" w:hanging="561"/>
        <w:rPr>
          <w:szCs w:val="24"/>
        </w:rPr>
      </w:pPr>
      <w:r w:rsidRPr="0012522B">
        <w:rPr>
          <w:szCs w:val="24"/>
        </w:rPr>
        <w:t>2.2</w:t>
      </w:r>
      <w:r w:rsidRPr="0012522B">
        <w:rPr>
          <w:szCs w:val="24"/>
        </w:rPr>
        <w:tab/>
        <w:t>In discharging this overall responsibility, the Council is responsible for putting in place proper arrangements for the governance of its affairs, facilitating the effective exercise of its functions, which includes arrangements for the management of risk.</w:t>
      </w:r>
    </w:p>
    <w:p w14:paraId="7971F57C" w14:textId="77777777" w:rsidR="00AD7BE0" w:rsidRPr="0012522B" w:rsidRDefault="00AD7BE0" w:rsidP="00AD7BE0">
      <w:pPr>
        <w:outlineLvl w:val="1"/>
        <w:rPr>
          <w:rFonts w:cs="Arial"/>
          <w:bCs/>
          <w:szCs w:val="24"/>
        </w:rPr>
      </w:pPr>
    </w:p>
    <w:p w14:paraId="23E3883D" w14:textId="77777777" w:rsidR="00AD7BE0" w:rsidRPr="0012522B" w:rsidRDefault="00AD7BE0" w:rsidP="00AD7BE0">
      <w:pPr>
        <w:ind w:left="561" w:hanging="561"/>
        <w:rPr>
          <w:szCs w:val="24"/>
        </w:rPr>
      </w:pPr>
      <w:r w:rsidRPr="0012522B">
        <w:rPr>
          <w:rFonts w:cs="FS Lola"/>
          <w:iCs/>
          <w:color w:val="000000"/>
          <w:szCs w:val="24"/>
        </w:rPr>
        <w:t>2.3</w:t>
      </w:r>
      <w:r w:rsidRPr="0012522B">
        <w:rPr>
          <w:rFonts w:cs="FS Lola"/>
          <w:iCs/>
          <w:color w:val="000000"/>
          <w:szCs w:val="24"/>
        </w:rPr>
        <w:tab/>
        <w:t>Regulation 6(1)(a) of the Accounts and Audit Regulations 2015 requires</w:t>
      </w:r>
      <w:r w:rsidRPr="0012522B">
        <w:rPr>
          <w:rFonts w:cs="FS Lola"/>
          <w:i/>
          <w:iCs/>
          <w:color w:val="000000"/>
          <w:sz w:val="23"/>
          <w:szCs w:val="23"/>
        </w:rPr>
        <w:t xml:space="preserve"> </w:t>
      </w:r>
      <w:r w:rsidRPr="0012522B">
        <w:rPr>
          <w:rFonts w:cs="FS Lola"/>
          <w:i/>
          <w:iCs/>
          <w:color w:val="000000"/>
          <w:szCs w:val="24"/>
        </w:rPr>
        <w:t xml:space="preserve">‘an authority to conduct a review at least once in a year of the effectiveness of its system of internal control and include a statement reporting on the review with any published Statement of Accounts (England)’. </w:t>
      </w:r>
    </w:p>
    <w:p w14:paraId="6AEE5F1A" w14:textId="77777777" w:rsidR="00AD7BE0" w:rsidRPr="0012522B" w:rsidRDefault="00AD7BE0" w:rsidP="00AD7BE0">
      <w:pPr>
        <w:ind w:left="720"/>
        <w:rPr>
          <w:rFonts w:cs="FS Lola"/>
          <w:i/>
          <w:iCs/>
          <w:color w:val="000000"/>
          <w:sz w:val="23"/>
          <w:szCs w:val="23"/>
        </w:rPr>
      </w:pPr>
    </w:p>
    <w:p w14:paraId="55C36B92" w14:textId="77777777" w:rsidR="00AD7BE0" w:rsidRPr="0012522B" w:rsidRDefault="00AD7BE0" w:rsidP="00AD7BE0">
      <w:pPr>
        <w:ind w:left="561" w:hanging="561"/>
        <w:rPr>
          <w:szCs w:val="24"/>
        </w:rPr>
      </w:pPr>
      <w:r w:rsidRPr="0012522B">
        <w:rPr>
          <w:rFonts w:cs="FS Lola"/>
          <w:iCs/>
          <w:color w:val="000000"/>
          <w:szCs w:val="24"/>
        </w:rPr>
        <w:t>2.4</w:t>
      </w:r>
      <w:r w:rsidRPr="0012522B">
        <w:rPr>
          <w:rFonts w:cs="FS Lola"/>
          <w:iCs/>
          <w:color w:val="000000"/>
          <w:szCs w:val="24"/>
        </w:rPr>
        <w:tab/>
        <w:t>Regulation 6(1)(b) of the Accounts and Audit Regulations 2015, requires that</w:t>
      </w:r>
      <w:r w:rsidRPr="0012522B">
        <w:rPr>
          <w:rFonts w:cs="FS Lola"/>
          <w:i/>
          <w:iCs/>
          <w:color w:val="000000"/>
          <w:sz w:val="23"/>
          <w:szCs w:val="23"/>
        </w:rPr>
        <w:t xml:space="preserve"> </w:t>
      </w:r>
      <w:r w:rsidRPr="0012522B">
        <w:rPr>
          <w:rFonts w:cs="FS Lola"/>
          <w:i/>
          <w:iCs/>
          <w:color w:val="000000"/>
          <w:szCs w:val="24"/>
        </w:rPr>
        <w:t xml:space="preserve">“for a local authority in England, the statement is an Annual Governance Statement”. </w:t>
      </w:r>
    </w:p>
    <w:p w14:paraId="45029515" w14:textId="77777777" w:rsidR="00AD7BE0" w:rsidRPr="0012522B" w:rsidRDefault="00AD7BE0" w:rsidP="00AD7BE0">
      <w:pPr>
        <w:ind w:left="720"/>
        <w:rPr>
          <w:rFonts w:cs="FS Lola"/>
          <w:i/>
          <w:iCs/>
          <w:color w:val="000000"/>
          <w:szCs w:val="24"/>
        </w:rPr>
      </w:pPr>
    </w:p>
    <w:p w14:paraId="0F1E26B1" w14:textId="77777777" w:rsidR="00AD7BE0" w:rsidRPr="0012522B" w:rsidRDefault="00AD7BE0" w:rsidP="00AD7BE0">
      <w:pPr>
        <w:ind w:left="561" w:hanging="561"/>
        <w:rPr>
          <w:szCs w:val="24"/>
        </w:rPr>
      </w:pPr>
      <w:r w:rsidRPr="0012522B">
        <w:rPr>
          <w:rFonts w:cs="FS Lola"/>
          <w:iCs/>
          <w:color w:val="000000"/>
          <w:szCs w:val="24"/>
        </w:rPr>
        <w:t>2.5</w:t>
      </w:r>
      <w:r w:rsidRPr="0012522B">
        <w:rPr>
          <w:rFonts w:cs="FS Lola"/>
          <w:iCs/>
          <w:color w:val="000000"/>
          <w:szCs w:val="24"/>
        </w:rPr>
        <w:tab/>
      </w:r>
      <w:r w:rsidRPr="0012522B">
        <w:t xml:space="preserve">The CIPFA/SOLACE Framework </w:t>
      </w:r>
      <w:r w:rsidRPr="0012522B">
        <w:rPr>
          <w:i/>
        </w:rPr>
        <w:t xml:space="preserve">Delivering Good Governance in Local Government </w:t>
      </w:r>
      <w:r w:rsidRPr="0012522B">
        <w:t xml:space="preserve">was updated in 2016 and </w:t>
      </w:r>
      <w:r w:rsidRPr="0012522B">
        <w:rPr>
          <w:szCs w:val="24"/>
        </w:rPr>
        <w:t>t</w:t>
      </w:r>
      <w:r w:rsidRPr="0012522B">
        <w:rPr>
          <w:rFonts w:cs="FS Lola"/>
          <w:color w:val="000000"/>
          <w:szCs w:val="24"/>
        </w:rPr>
        <w:t>his Framework applies to annual governance statements prepared for the financial year 2016/17 onwards</w:t>
      </w:r>
      <w:r w:rsidRPr="0012522B">
        <w:rPr>
          <w:rFonts w:cs="FS Lola"/>
          <w:color w:val="000000"/>
          <w:sz w:val="23"/>
          <w:szCs w:val="23"/>
        </w:rPr>
        <w:t xml:space="preserve">. The </w:t>
      </w:r>
      <w:r w:rsidRPr="0012522B">
        <w:t xml:space="preserve">overall aim of the Framework </w:t>
      </w:r>
      <w:r w:rsidRPr="0012522B">
        <w:rPr>
          <w:i/>
          <w:szCs w:val="24"/>
        </w:rPr>
        <w:t>‘</w:t>
      </w:r>
      <w:r w:rsidRPr="0012522B">
        <w:rPr>
          <w:rFonts w:cs="FS Lola"/>
          <w:i/>
          <w:color w:val="000000"/>
          <w:szCs w:val="24"/>
        </w:rPr>
        <w:t xml:space="preserve">is to ensure that resources are directed in accordance with agreed policy and according to priorities, that there is sound and inclusive decision making and that there is clear accountability for the use of those resources in order to achieve desired outcomes for service users and communities’. </w:t>
      </w:r>
    </w:p>
    <w:p w14:paraId="12BF0289" w14:textId="77777777" w:rsidR="00AD7BE0" w:rsidRPr="0012522B" w:rsidRDefault="00AD7BE0" w:rsidP="00AD7BE0">
      <w:pPr>
        <w:ind w:left="720"/>
        <w:rPr>
          <w:rFonts w:cs="FS Lola"/>
          <w:i/>
          <w:iCs/>
          <w:color w:val="000000"/>
          <w:szCs w:val="24"/>
        </w:rPr>
      </w:pPr>
    </w:p>
    <w:p w14:paraId="44D0F805" w14:textId="77777777" w:rsidR="00AD7BE0" w:rsidRPr="0012522B" w:rsidRDefault="00AD7BE0" w:rsidP="00AD7BE0">
      <w:pPr>
        <w:ind w:left="561" w:hanging="561"/>
        <w:rPr>
          <w:szCs w:val="24"/>
        </w:rPr>
      </w:pPr>
      <w:r w:rsidRPr="0012522B">
        <w:rPr>
          <w:rFonts w:cs="FS Lola"/>
          <w:iCs/>
          <w:color w:val="000000"/>
          <w:szCs w:val="24"/>
        </w:rPr>
        <w:t>2.6</w:t>
      </w:r>
      <w:r w:rsidRPr="0012522B">
        <w:rPr>
          <w:rFonts w:cs="FS Lola"/>
          <w:iCs/>
          <w:color w:val="000000"/>
          <w:szCs w:val="24"/>
        </w:rPr>
        <w:tab/>
        <w:t xml:space="preserve">In England the Accounts and Audit Regulations 2015 stipulate that the Annual Governance Statement must be </w:t>
      </w:r>
      <w:r w:rsidRPr="0012522B">
        <w:rPr>
          <w:rFonts w:cs="FS Lola"/>
          <w:i/>
          <w:iCs/>
          <w:color w:val="000000"/>
          <w:szCs w:val="24"/>
        </w:rPr>
        <w:t>“prepared in accordance with proper practices in relation to accounts”</w:t>
      </w:r>
      <w:r w:rsidRPr="0012522B">
        <w:t xml:space="preserve"> and must be “</w:t>
      </w:r>
      <w:r w:rsidRPr="0012522B">
        <w:rPr>
          <w:rFonts w:cs="FS Lola"/>
          <w:i/>
          <w:iCs/>
          <w:color w:val="000000"/>
          <w:szCs w:val="24"/>
        </w:rPr>
        <w:t>approved in advance of the relevant authority approving the statement of accounts. Therefore a local authority in England shall provide this statement in accordance with Delivering Good Governance in Local Government: Framework (2016) and this section of the Code”.</w:t>
      </w:r>
    </w:p>
    <w:p w14:paraId="1FC79EC7" w14:textId="77777777" w:rsidR="00AD7BE0" w:rsidRPr="0012522B" w:rsidRDefault="00AD7BE0" w:rsidP="00AD7BE0">
      <w:pPr>
        <w:ind w:left="720"/>
        <w:rPr>
          <w:szCs w:val="24"/>
        </w:rPr>
      </w:pPr>
    </w:p>
    <w:p w14:paraId="4822EC4B" w14:textId="77777777" w:rsidR="00AD7BE0" w:rsidRPr="0012522B" w:rsidRDefault="00AD7BE0" w:rsidP="00AD7BE0">
      <w:pPr>
        <w:ind w:left="561" w:hanging="561"/>
      </w:pPr>
      <w:r w:rsidRPr="0012522B">
        <w:t>2.7</w:t>
      </w:r>
      <w:r w:rsidRPr="0012522B">
        <w:tab/>
      </w:r>
      <w:r w:rsidRPr="0012522B">
        <w:rPr>
          <w:rFonts w:cs="FS Lola"/>
          <w:iCs/>
          <w:color w:val="000000"/>
          <w:szCs w:val="24"/>
        </w:rPr>
        <w:t xml:space="preserve">The preparation and publication of an Annual Governance Statement in accordance with Delivering Good Governance in Local Government: Framework (2016) would fulfil the statutory requirements across the United Kingdom for a local authority to conduct a review at least once in each financial year of the effectiveness of its system of internal control and to include a statement reporting on the review with its Statement of Accounts. </w:t>
      </w:r>
      <w:r w:rsidRPr="0012522B">
        <w:rPr>
          <w:rFonts w:cs="FS Lola"/>
          <w:i/>
          <w:color w:val="000000"/>
          <w:szCs w:val="24"/>
        </w:rPr>
        <w:t xml:space="preserve"> </w:t>
      </w:r>
    </w:p>
    <w:p w14:paraId="7ECFD554" w14:textId="77777777" w:rsidR="00AD7BE0" w:rsidRPr="0012522B" w:rsidRDefault="00AD7BE0" w:rsidP="00AD7BE0">
      <w:pPr>
        <w:ind w:left="720"/>
      </w:pPr>
    </w:p>
    <w:p w14:paraId="063800CA" w14:textId="77777777" w:rsidR="00AD7BE0" w:rsidRPr="0012522B" w:rsidRDefault="00AD7BE0" w:rsidP="00AD7BE0">
      <w:pPr>
        <w:ind w:left="561" w:hanging="561"/>
      </w:pPr>
      <w:r w:rsidRPr="0012522B">
        <w:lastRenderedPageBreak/>
        <w:t>2.8</w:t>
      </w:r>
      <w:r w:rsidRPr="0012522B">
        <w:tab/>
        <w:t xml:space="preserve">The Annual Governance Statement explains how the Council has complied with the framework and meets the requirements of regulation 6 of the Accounts and Audit Regulations 2015 in relation to the publication of a statement of internal control (Annual Governance Statement). </w:t>
      </w:r>
    </w:p>
    <w:p w14:paraId="1338F11E" w14:textId="77777777" w:rsidR="00AD7BE0" w:rsidRPr="0012522B" w:rsidRDefault="00AD7BE0" w:rsidP="00AD7BE0">
      <w:pPr>
        <w:outlineLvl w:val="1"/>
        <w:rPr>
          <w:rFonts w:cs="Arial"/>
          <w:b/>
          <w:bCs/>
          <w:szCs w:val="24"/>
        </w:rPr>
      </w:pPr>
    </w:p>
    <w:p w14:paraId="0A86BABB" w14:textId="77777777" w:rsidR="00AD7BE0" w:rsidRPr="0012522B" w:rsidRDefault="00AD7BE0" w:rsidP="00AD7BE0">
      <w:pPr>
        <w:outlineLvl w:val="1"/>
        <w:rPr>
          <w:rFonts w:cs="Arial"/>
          <w:b/>
          <w:bCs/>
          <w:szCs w:val="24"/>
        </w:rPr>
      </w:pPr>
      <w:r w:rsidRPr="0012522B">
        <w:rPr>
          <w:rFonts w:cs="Arial"/>
          <w:b/>
          <w:bCs/>
          <w:szCs w:val="24"/>
        </w:rPr>
        <w:t>Annual Governance Statement</w:t>
      </w:r>
    </w:p>
    <w:p w14:paraId="6DB65F90" w14:textId="77777777" w:rsidR="00AD7BE0" w:rsidRPr="0012522B" w:rsidRDefault="00AD7BE0" w:rsidP="00AD7BE0">
      <w:pPr>
        <w:outlineLvl w:val="1"/>
        <w:rPr>
          <w:rFonts w:cs="Arial"/>
          <w:b/>
          <w:bCs/>
          <w:color w:val="0000FF"/>
          <w:szCs w:val="24"/>
        </w:rPr>
      </w:pPr>
    </w:p>
    <w:p w14:paraId="37066F34" w14:textId="7C19FC98" w:rsidR="006E09FA" w:rsidRDefault="00AD7BE0" w:rsidP="006E09FA">
      <w:pPr>
        <w:ind w:left="561" w:hanging="561"/>
        <w:rPr>
          <w:rFonts w:cs="Arial"/>
        </w:rPr>
      </w:pPr>
      <w:r w:rsidRPr="0012522B">
        <w:rPr>
          <w:rFonts w:cs="Arial"/>
        </w:rPr>
        <w:t>2.9</w:t>
      </w:r>
      <w:r w:rsidRPr="0012522B">
        <w:rPr>
          <w:rFonts w:cs="Arial"/>
        </w:rPr>
        <w:tab/>
      </w:r>
      <w:r w:rsidR="006E09FA">
        <w:rPr>
          <w:rFonts w:cs="Arial"/>
        </w:rPr>
        <w:t xml:space="preserve">Since 2005/06 </w:t>
      </w:r>
      <w:r w:rsidRPr="0012522B">
        <w:rPr>
          <w:rFonts w:cs="Arial"/>
        </w:rPr>
        <w:t xml:space="preserve">the Council </w:t>
      </w:r>
      <w:r w:rsidR="006E09FA">
        <w:rPr>
          <w:rFonts w:cs="Arial"/>
        </w:rPr>
        <w:t xml:space="preserve">has </w:t>
      </w:r>
      <w:r w:rsidRPr="0012522B">
        <w:rPr>
          <w:rFonts w:cs="Arial"/>
        </w:rPr>
        <w:t>undertake</w:t>
      </w:r>
      <w:r w:rsidR="006E09FA">
        <w:rPr>
          <w:rFonts w:cs="Arial"/>
        </w:rPr>
        <w:t>n</w:t>
      </w:r>
      <w:r w:rsidRPr="0012522B">
        <w:rPr>
          <w:rFonts w:cs="Arial"/>
        </w:rPr>
        <w:t xml:space="preserve"> a</w:t>
      </w:r>
      <w:r w:rsidR="006E09FA">
        <w:rPr>
          <w:rFonts w:cs="Arial"/>
        </w:rPr>
        <w:t xml:space="preserve">n annual </w:t>
      </w:r>
      <w:r w:rsidRPr="0012522B">
        <w:rPr>
          <w:rFonts w:cs="Arial"/>
        </w:rPr>
        <w:t>review of its governance arrangements to meet the requirements of the Framework</w:t>
      </w:r>
      <w:r w:rsidR="00670928">
        <w:rPr>
          <w:rFonts w:cs="Arial"/>
        </w:rPr>
        <w:t xml:space="preserve">. </w:t>
      </w:r>
      <w:r w:rsidR="006E09FA" w:rsidRPr="006E09FA">
        <w:rPr>
          <w:rFonts w:cs="Arial"/>
        </w:rPr>
        <w:t>In the early years this approach helped us to identify a number of significant governance gaps, however in more recent years the majority of significant gaps have been identified by Internal Audit work and/or senior management input</w:t>
      </w:r>
      <w:r w:rsidR="00995AA0">
        <w:rPr>
          <w:rFonts w:cs="Arial"/>
        </w:rPr>
        <w:t>,</w:t>
      </w:r>
      <w:r w:rsidR="006E09FA" w:rsidRPr="006E09FA">
        <w:rPr>
          <w:rFonts w:cs="Arial"/>
        </w:rPr>
        <w:t xml:space="preserve"> with the framework only helping to identify minor governance gaps, many of which are ongoing. Essentially the framework provides a very granular approach to the review of governance and is useful in confirming that the basic building blocks of governance are in place.</w:t>
      </w:r>
    </w:p>
    <w:p w14:paraId="39B562A7" w14:textId="77777777" w:rsidR="006E09FA" w:rsidRPr="006E09FA" w:rsidRDefault="006E09FA" w:rsidP="006E09FA">
      <w:pPr>
        <w:ind w:left="561" w:hanging="561"/>
        <w:rPr>
          <w:rFonts w:cs="Arial"/>
        </w:rPr>
      </w:pPr>
    </w:p>
    <w:p w14:paraId="37999F18" w14:textId="7492636F" w:rsidR="002F491E" w:rsidRDefault="006E09FA" w:rsidP="006E09FA">
      <w:pPr>
        <w:ind w:left="561" w:hanging="561"/>
        <w:rPr>
          <w:rFonts w:cs="Arial"/>
        </w:rPr>
      </w:pPr>
      <w:r>
        <w:rPr>
          <w:rFonts w:cs="Arial"/>
        </w:rPr>
        <w:t>2.10</w:t>
      </w:r>
      <w:r>
        <w:rPr>
          <w:rFonts w:cs="Arial"/>
        </w:rPr>
        <w:tab/>
        <w:t>Bearing t</w:t>
      </w:r>
      <w:r w:rsidR="00AD7BE0" w:rsidRPr="0012522B">
        <w:rPr>
          <w:rFonts w:cs="Arial"/>
        </w:rPr>
        <w:t xml:space="preserve">his </w:t>
      </w:r>
      <w:r>
        <w:rPr>
          <w:rFonts w:cs="Arial"/>
        </w:rPr>
        <w:t xml:space="preserve">in </w:t>
      </w:r>
      <w:r w:rsidR="00860E51">
        <w:rPr>
          <w:rFonts w:cs="Arial"/>
        </w:rPr>
        <w:t>mind and</w:t>
      </w:r>
      <w:r>
        <w:rPr>
          <w:rFonts w:cs="Arial"/>
        </w:rPr>
        <w:t xml:space="preserve"> taking into account the impact of the pandemic on resources</w:t>
      </w:r>
      <w:r w:rsidR="00AD7BE0" w:rsidRPr="0012522B">
        <w:rPr>
          <w:rFonts w:cs="Arial"/>
        </w:rPr>
        <w:t xml:space="preserve"> the </w:t>
      </w:r>
      <w:r>
        <w:rPr>
          <w:rFonts w:cs="Arial"/>
        </w:rPr>
        <w:t xml:space="preserve">approach to the </w:t>
      </w:r>
      <w:r w:rsidR="00AD7BE0" w:rsidRPr="0012522B">
        <w:rPr>
          <w:rFonts w:cs="Arial"/>
        </w:rPr>
        <w:t xml:space="preserve">annual review process </w:t>
      </w:r>
      <w:r w:rsidR="004673D2">
        <w:rPr>
          <w:rFonts w:cs="Arial"/>
        </w:rPr>
        <w:t>for 2020/21 was</w:t>
      </w:r>
      <w:r>
        <w:rPr>
          <w:rFonts w:cs="Arial"/>
        </w:rPr>
        <w:t xml:space="preserve"> revised with a higher level approach being taken generally with some deep dives into a few specific known risk areas, utilising work already undertaken or planned wherever possible.  The table below </w:t>
      </w:r>
      <w:r w:rsidR="0030163B">
        <w:rPr>
          <w:rFonts w:cs="Arial"/>
        </w:rPr>
        <w:t>outlines the approach taken in previous recent years</w:t>
      </w:r>
      <w:r w:rsidR="004673D2">
        <w:rPr>
          <w:rFonts w:cs="Arial"/>
        </w:rPr>
        <w:t>,</w:t>
      </w:r>
      <w:r w:rsidR="007454CB">
        <w:rPr>
          <w:rFonts w:cs="Arial"/>
        </w:rPr>
        <w:t xml:space="preserve"> </w:t>
      </w:r>
      <w:r w:rsidR="0030163B">
        <w:rPr>
          <w:rFonts w:cs="Arial"/>
        </w:rPr>
        <w:t xml:space="preserve">the 2020/21 approach </w:t>
      </w:r>
      <w:r w:rsidR="004673D2">
        <w:rPr>
          <w:rFonts w:cs="Arial"/>
        </w:rPr>
        <w:t>and the approach being taken for 2021/22 which is a hybrid of the two previous approached</w:t>
      </w:r>
      <w:r w:rsidR="0030163B">
        <w:rPr>
          <w:rFonts w:cs="Arial"/>
        </w:rPr>
        <w:t>.</w:t>
      </w:r>
    </w:p>
    <w:p w14:paraId="10D8255A" w14:textId="77777777" w:rsidR="002F491E" w:rsidRDefault="002F491E" w:rsidP="00AD7BE0">
      <w:pPr>
        <w:ind w:left="709" w:hanging="709"/>
        <w:rPr>
          <w:rFonts w:cs="Arial"/>
        </w:rPr>
      </w:pPr>
    </w:p>
    <w:p w14:paraId="419705CF" w14:textId="77777777" w:rsidR="002F491E" w:rsidRDefault="002F491E" w:rsidP="00AD7BE0">
      <w:pPr>
        <w:ind w:left="709" w:hanging="709"/>
        <w:rPr>
          <w:rFonts w:cs="Arial"/>
        </w:rPr>
      </w:pPr>
    </w:p>
    <w:tbl>
      <w:tblPr>
        <w:tblStyle w:val="TableGrid"/>
        <w:tblW w:w="0" w:type="auto"/>
        <w:tblInd w:w="-5" w:type="dxa"/>
        <w:tblLook w:val="04A0" w:firstRow="1" w:lastRow="0" w:firstColumn="1" w:lastColumn="0" w:noHBand="0" w:noVBand="1"/>
      </w:tblPr>
      <w:tblGrid>
        <w:gridCol w:w="2552"/>
        <w:gridCol w:w="3221"/>
        <w:gridCol w:w="2531"/>
      </w:tblGrid>
      <w:tr w:rsidR="004673D2" w14:paraId="44935DE4" w14:textId="77777777" w:rsidTr="002F491E">
        <w:tc>
          <w:tcPr>
            <w:tcW w:w="2552" w:type="dxa"/>
          </w:tcPr>
          <w:p w14:paraId="14CAFB13" w14:textId="073D4570" w:rsidR="002F491E" w:rsidRPr="002F491E" w:rsidRDefault="002F491E" w:rsidP="00AD7BE0">
            <w:pPr>
              <w:rPr>
                <w:rFonts w:cs="Arial"/>
                <w:b/>
                <w:bCs/>
              </w:rPr>
            </w:pPr>
            <w:r w:rsidRPr="002F491E">
              <w:rPr>
                <w:rFonts w:cs="Arial"/>
                <w:b/>
                <w:bCs/>
              </w:rPr>
              <w:t>Previous Approach</w:t>
            </w:r>
          </w:p>
        </w:tc>
        <w:tc>
          <w:tcPr>
            <w:tcW w:w="3221" w:type="dxa"/>
          </w:tcPr>
          <w:p w14:paraId="4A0ED634" w14:textId="64BD4004" w:rsidR="002F491E" w:rsidRPr="002F491E" w:rsidRDefault="002F491E" w:rsidP="00AD7BE0">
            <w:pPr>
              <w:rPr>
                <w:rFonts w:cs="Arial"/>
                <w:b/>
                <w:bCs/>
              </w:rPr>
            </w:pPr>
            <w:r w:rsidRPr="002F491E">
              <w:rPr>
                <w:rFonts w:cs="Arial"/>
                <w:b/>
                <w:bCs/>
              </w:rPr>
              <w:t>2020/21 Approach</w:t>
            </w:r>
          </w:p>
        </w:tc>
        <w:tc>
          <w:tcPr>
            <w:tcW w:w="2531" w:type="dxa"/>
          </w:tcPr>
          <w:p w14:paraId="363C5B9D" w14:textId="3B810DD9" w:rsidR="002F491E" w:rsidRPr="002F491E" w:rsidRDefault="004673D2" w:rsidP="00AD7BE0">
            <w:pPr>
              <w:rPr>
                <w:rFonts w:cs="Arial"/>
                <w:b/>
                <w:bCs/>
              </w:rPr>
            </w:pPr>
            <w:r>
              <w:rPr>
                <w:rFonts w:cs="Arial"/>
                <w:b/>
                <w:bCs/>
              </w:rPr>
              <w:t>2021/22 Approach (Hybrid)</w:t>
            </w:r>
          </w:p>
        </w:tc>
      </w:tr>
      <w:tr w:rsidR="004673D2" w14:paraId="23EBDC04" w14:textId="77777777" w:rsidTr="002F491E">
        <w:tc>
          <w:tcPr>
            <w:tcW w:w="2552" w:type="dxa"/>
          </w:tcPr>
          <w:p w14:paraId="6485D515" w14:textId="782ABC70" w:rsidR="002F491E" w:rsidRPr="00BE380F" w:rsidRDefault="002F491E" w:rsidP="00AD7BE0">
            <w:pPr>
              <w:rPr>
                <w:rFonts w:cs="Arial"/>
              </w:rPr>
            </w:pPr>
            <w:r w:rsidRPr="00BE380F">
              <w:rPr>
                <w:rFonts w:eastAsia="Calibri" w:cs="Arial"/>
                <w:b/>
                <w:bCs/>
                <w:sz w:val="22"/>
                <w:szCs w:val="22"/>
              </w:rPr>
              <w:t>A detailed review and update of governance processes</w:t>
            </w:r>
            <w:r w:rsidRPr="00BE380F">
              <w:rPr>
                <w:rFonts w:eastAsia="Calibri" w:cs="Arial"/>
                <w:sz w:val="22"/>
                <w:szCs w:val="22"/>
              </w:rPr>
              <w:t xml:space="preserve"> in place during the year against the CIPFA Delivering Good Governance in Local Government Framework with significant input from the Corporate Governance Working Group, mainly Legal, Performance and HR.</w:t>
            </w:r>
          </w:p>
        </w:tc>
        <w:tc>
          <w:tcPr>
            <w:tcW w:w="3221" w:type="dxa"/>
          </w:tcPr>
          <w:p w14:paraId="67F1966B" w14:textId="77777777" w:rsidR="002F491E" w:rsidRPr="00BE380F" w:rsidRDefault="002F491E" w:rsidP="00AD7BE0">
            <w:pPr>
              <w:rPr>
                <w:rFonts w:eastAsia="Calibri" w:cs="Arial"/>
                <w:sz w:val="22"/>
                <w:szCs w:val="22"/>
              </w:rPr>
            </w:pPr>
            <w:r w:rsidRPr="00BE380F">
              <w:rPr>
                <w:rFonts w:eastAsia="Calibri" w:cs="Arial"/>
                <w:b/>
                <w:bCs/>
                <w:sz w:val="22"/>
                <w:szCs w:val="22"/>
              </w:rPr>
              <w:t>A light-touch review of governance processes</w:t>
            </w:r>
            <w:r w:rsidRPr="00BE380F">
              <w:rPr>
                <w:rFonts w:eastAsia="Calibri" w:cs="Arial"/>
                <w:sz w:val="22"/>
                <w:szCs w:val="22"/>
              </w:rPr>
              <w:t xml:space="preserve"> in place during 2020/21 with the Corporate Governance Working Group being asked to identify only significant changes to governance processes and/or governance gaps.</w:t>
            </w:r>
          </w:p>
          <w:p w14:paraId="25B23D56" w14:textId="70ACC011" w:rsidR="002F491E" w:rsidRPr="00BE380F" w:rsidRDefault="002F491E" w:rsidP="00AD7BE0">
            <w:pPr>
              <w:rPr>
                <w:rFonts w:eastAsia="Calibri" w:cs="Arial"/>
                <w:sz w:val="22"/>
                <w:szCs w:val="22"/>
              </w:rPr>
            </w:pPr>
          </w:p>
          <w:p w14:paraId="4F639DBF" w14:textId="0ED9E07D" w:rsidR="002F491E" w:rsidRPr="00BE380F" w:rsidRDefault="002F491E" w:rsidP="002F491E">
            <w:pPr>
              <w:rPr>
                <w:rFonts w:eastAsia="Calibri" w:cs="Arial"/>
                <w:b/>
                <w:bCs/>
                <w:color w:val="FF0000"/>
                <w:sz w:val="22"/>
                <w:szCs w:val="22"/>
              </w:rPr>
            </w:pPr>
            <w:r w:rsidRPr="002F491E">
              <w:rPr>
                <w:rFonts w:eastAsia="Calibri" w:cs="Arial"/>
                <w:sz w:val="22"/>
                <w:szCs w:val="22"/>
              </w:rPr>
              <w:t>Details usually fed into the Annual Governance Statement from this review will be checked and updated before inclusion in the 2020/21 AGS including Covid-19 arrangements and the impact on governance.</w:t>
            </w:r>
          </w:p>
          <w:p w14:paraId="5785CDE9" w14:textId="43394DD1" w:rsidR="002F491E" w:rsidRPr="00BE380F" w:rsidRDefault="002F491E" w:rsidP="002F491E">
            <w:pPr>
              <w:rPr>
                <w:rFonts w:eastAsia="Calibri" w:cs="Arial"/>
                <w:b/>
                <w:bCs/>
                <w:color w:val="FF0000"/>
                <w:sz w:val="22"/>
                <w:szCs w:val="22"/>
              </w:rPr>
            </w:pPr>
          </w:p>
          <w:p w14:paraId="7D4C7DFC" w14:textId="02868B0B" w:rsidR="002F491E" w:rsidRPr="00BE380F" w:rsidRDefault="002F491E" w:rsidP="00BE380F">
            <w:pPr>
              <w:rPr>
                <w:rFonts w:cs="Arial"/>
              </w:rPr>
            </w:pPr>
            <w:r w:rsidRPr="002F491E">
              <w:rPr>
                <w:rFonts w:eastAsia="Calibri" w:cs="Arial"/>
                <w:b/>
                <w:bCs/>
                <w:sz w:val="22"/>
                <w:szCs w:val="22"/>
              </w:rPr>
              <w:t>Follow up on minor governance gaps identified from last year’s process</w:t>
            </w:r>
            <w:r w:rsidRPr="002F491E">
              <w:rPr>
                <w:rFonts w:eastAsia="Calibri" w:cs="Arial"/>
                <w:sz w:val="22"/>
                <w:szCs w:val="22"/>
              </w:rPr>
              <w:t xml:space="preserve"> as part of the </w:t>
            </w:r>
            <w:r w:rsidRPr="00BE380F">
              <w:rPr>
                <w:rFonts w:eastAsia="Calibri" w:cs="Arial"/>
                <w:sz w:val="22"/>
                <w:szCs w:val="22"/>
              </w:rPr>
              <w:t xml:space="preserve">2020/21 </w:t>
            </w:r>
            <w:r w:rsidRPr="002F491E">
              <w:rPr>
                <w:rFonts w:eastAsia="Calibri" w:cs="Arial"/>
                <w:sz w:val="22"/>
                <w:szCs w:val="22"/>
              </w:rPr>
              <w:t xml:space="preserve">IA Plan and the results of this exercise </w:t>
            </w:r>
            <w:r w:rsidRPr="002F491E">
              <w:rPr>
                <w:rFonts w:eastAsia="Calibri" w:cs="Arial"/>
                <w:sz w:val="22"/>
                <w:szCs w:val="22"/>
              </w:rPr>
              <w:lastRenderedPageBreak/>
              <w:t>will be fed into the annual review of governance.</w:t>
            </w:r>
          </w:p>
        </w:tc>
        <w:tc>
          <w:tcPr>
            <w:tcW w:w="2531" w:type="dxa"/>
          </w:tcPr>
          <w:p w14:paraId="13AD964C" w14:textId="3AF93AE2" w:rsidR="004673D2" w:rsidRPr="00BE380F" w:rsidRDefault="004673D2" w:rsidP="004673D2">
            <w:pPr>
              <w:rPr>
                <w:rFonts w:eastAsia="Calibri" w:cs="Arial"/>
                <w:sz w:val="22"/>
                <w:szCs w:val="22"/>
              </w:rPr>
            </w:pPr>
            <w:r w:rsidRPr="00BE380F">
              <w:rPr>
                <w:rFonts w:eastAsia="Calibri" w:cs="Arial"/>
                <w:b/>
                <w:bCs/>
                <w:sz w:val="22"/>
                <w:szCs w:val="22"/>
              </w:rPr>
              <w:lastRenderedPageBreak/>
              <w:t xml:space="preserve">A light-touch </w:t>
            </w:r>
            <w:r>
              <w:rPr>
                <w:rFonts w:eastAsia="Calibri" w:cs="Arial"/>
                <w:b/>
                <w:bCs/>
                <w:sz w:val="22"/>
                <w:szCs w:val="22"/>
              </w:rPr>
              <w:t xml:space="preserve">plus </w:t>
            </w:r>
            <w:r w:rsidRPr="00BE380F">
              <w:rPr>
                <w:rFonts w:eastAsia="Calibri" w:cs="Arial"/>
                <w:b/>
                <w:bCs/>
                <w:sz w:val="22"/>
                <w:szCs w:val="22"/>
              </w:rPr>
              <w:t>review of governance processes</w:t>
            </w:r>
            <w:r w:rsidRPr="00BE380F">
              <w:rPr>
                <w:rFonts w:eastAsia="Calibri" w:cs="Arial"/>
                <w:sz w:val="22"/>
                <w:szCs w:val="22"/>
              </w:rPr>
              <w:t xml:space="preserve"> in place during 202</w:t>
            </w:r>
            <w:r>
              <w:rPr>
                <w:rFonts w:eastAsia="Calibri" w:cs="Arial"/>
                <w:sz w:val="22"/>
                <w:szCs w:val="22"/>
              </w:rPr>
              <w:t>1</w:t>
            </w:r>
            <w:r w:rsidRPr="00BE380F">
              <w:rPr>
                <w:rFonts w:eastAsia="Calibri" w:cs="Arial"/>
                <w:sz w:val="22"/>
                <w:szCs w:val="22"/>
              </w:rPr>
              <w:t>/2</w:t>
            </w:r>
            <w:r>
              <w:rPr>
                <w:rFonts w:eastAsia="Calibri" w:cs="Arial"/>
                <w:sz w:val="22"/>
                <w:szCs w:val="22"/>
              </w:rPr>
              <w:t>2</w:t>
            </w:r>
            <w:r w:rsidRPr="00BE380F">
              <w:rPr>
                <w:rFonts w:eastAsia="Calibri" w:cs="Arial"/>
                <w:sz w:val="22"/>
                <w:szCs w:val="22"/>
              </w:rPr>
              <w:t xml:space="preserve"> with the Corporate Governance Working Group being asked to identify </w:t>
            </w:r>
            <w:r>
              <w:rPr>
                <w:rFonts w:eastAsia="Calibri" w:cs="Arial"/>
                <w:sz w:val="22"/>
                <w:szCs w:val="22"/>
              </w:rPr>
              <w:t xml:space="preserve">key governance processes and </w:t>
            </w:r>
            <w:r w:rsidRPr="00BE380F">
              <w:rPr>
                <w:rFonts w:eastAsia="Calibri" w:cs="Arial"/>
                <w:sz w:val="22"/>
                <w:szCs w:val="22"/>
              </w:rPr>
              <w:t>significant changes to governance processes and/or governance gaps.</w:t>
            </w:r>
          </w:p>
          <w:p w14:paraId="01024133" w14:textId="77777777" w:rsidR="002F491E" w:rsidRDefault="002F491E" w:rsidP="00AD7BE0">
            <w:pPr>
              <w:rPr>
                <w:rFonts w:cs="Arial"/>
              </w:rPr>
            </w:pPr>
          </w:p>
          <w:p w14:paraId="13BF86E0" w14:textId="77777777" w:rsidR="004673D2" w:rsidRDefault="004673D2" w:rsidP="00AD7BE0">
            <w:pPr>
              <w:rPr>
                <w:rFonts w:cs="Arial"/>
              </w:rPr>
            </w:pPr>
            <w:r w:rsidRPr="004673D2">
              <w:rPr>
                <w:rFonts w:cs="Arial"/>
              </w:rPr>
              <w:t>Details fed into the Annual Governance Statement from this review will be checked and updated before inclusion in the 202</w:t>
            </w:r>
            <w:r>
              <w:rPr>
                <w:rFonts w:cs="Arial"/>
              </w:rPr>
              <w:t>1</w:t>
            </w:r>
            <w:r w:rsidRPr="004673D2">
              <w:rPr>
                <w:rFonts w:cs="Arial"/>
              </w:rPr>
              <w:t>/2</w:t>
            </w:r>
            <w:r>
              <w:rPr>
                <w:rFonts w:cs="Arial"/>
              </w:rPr>
              <w:t>2</w:t>
            </w:r>
            <w:r w:rsidRPr="004673D2">
              <w:rPr>
                <w:rFonts w:cs="Arial"/>
              </w:rPr>
              <w:t xml:space="preserve"> AGS</w:t>
            </w:r>
            <w:r>
              <w:rPr>
                <w:rFonts w:cs="Arial"/>
              </w:rPr>
              <w:t>.</w:t>
            </w:r>
          </w:p>
          <w:p w14:paraId="3CC6AB52" w14:textId="77777777" w:rsidR="004673D2" w:rsidRDefault="004673D2" w:rsidP="00AD7BE0">
            <w:pPr>
              <w:rPr>
                <w:rFonts w:cs="Arial"/>
              </w:rPr>
            </w:pPr>
          </w:p>
          <w:p w14:paraId="7A8A3A4F" w14:textId="5EB93CF7" w:rsidR="004673D2" w:rsidRPr="00BE380F" w:rsidRDefault="004673D2" w:rsidP="00AD7BE0">
            <w:pPr>
              <w:rPr>
                <w:rFonts w:cs="Arial"/>
              </w:rPr>
            </w:pPr>
            <w:r>
              <w:rPr>
                <w:rFonts w:eastAsia="Calibri" w:cs="Arial"/>
                <w:b/>
                <w:bCs/>
                <w:sz w:val="22"/>
                <w:szCs w:val="22"/>
              </w:rPr>
              <w:t>Identification of</w:t>
            </w:r>
            <w:r w:rsidRPr="002F491E">
              <w:rPr>
                <w:rFonts w:eastAsia="Calibri" w:cs="Arial"/>
                <w:b/>
                <w:bCs/>
                <w:sz w:val="22"/>
                <w:szCs w:val="22"/>
              </w:rPr>
              <w:t xml:space="preserve"> minor governance gaps </w:t>
            </w:r>
            <w:r w:rsidRPr="00AD1983">
              <w:rPr>
                <w:rFonts w:eastAsia="Calibri" w:cs="Arial"/>
                <w:sz w:val="22"/>
                <w:szCs w:val="22"/>
              </w:rPr>
              <w:t>for 2021/22</w:t>
            </w:r>
          </w:p>
        </w:tc>
      </w:tr>
      <w:tr w:rsidR="004673D2" w14:paraId="263E0106" w14:textId="77777777" w:rsidTr="002F491E">
        <w:tc>
          <w:tcPr>
            <w:tcW w:w="2552" w:type="dxa"/>
          </w:tcPr>
          <w:p w14:paraId="2A644DE9" w14:textId="50AF1F7E" w:rsidR="00BE380F" w:rsidRPr="00BE380F" w:rsidRDefault="00BE380F" w:rsidP="00BE380F">
            <w:pPr>
              <w:rPr>
                <w:rFonts w:cs="Arial"/>
                <w:sz w:val="22"/>
                <w:szCs w:val="22"/>
              </w:rPr>
            </w:pPr>
            <w:r w:rsidRPr="00BE380F">
              <w:rPr>
                <w:rFonts w:eastAsia="Calibri" w:cs="Arial"/>
                <w:b/>
                <w:bCs/>
                <w:sz w:val="22"/>
                <w:szCs w:val="22"/>
              </w:rPr>
              <w:t>Management Assurance</w:t>
            </w:r>
            <w:r w:rsidRPr="00BE380F">
              <w:rPr>
                <w:rFonts w:eastAsia="Calibri" w:cs="Arial"/>
                <w:sz w:val="22"/>
                <w:szCs w:val="22"/>
              </w:rPr>
              <w:t xml:space="preserve"> completed by Corporate Directors and their management teams including the provision of external assurance repo</w:t>
            </w:r>
            <w:r>
              <w:rPr>
                <w:rFonts w:eastAsia="Calibri" w:cs="Arial"/>
                <w:sz w:val="22"/>
                <w:szCs w:val="22"/>
              </w:rPr>
              <w:t>r</w:t>
            </w:r>
            <w:r w:rsidRPr="00BE380F">
              <w:rPr>
                <w:rFonts w:eastAsia="Calibri" w:cs="Arial"/>
                <w:sz w:val="22"/>
                <w:szCs w:val="22"/>
              </w:rPr>
              <w:t>ts received during the year.</w:t>
            </w:r>
          </w:p>
        </w:tc>
        <w:tc>
          <w:tcPr>
            <w:tcW w:w="3221" w:type="dxa"/>
          </w:tcPr>
          <w:p w14:paraId="650DAFEB" w14:textId="03FED73B" w:rsidR="00BE380F" w:rsidRPr="00BE380F" w:rsidRDefault="00BE380F" w:rsidP="00BE380F">
            <w:pPr>
              <w:rPr>
                <w:rFonts w:cs="Arial"/>
                <w:sz w:val="22"/>
                <w:szCs w:val="22"/>
              </w:rPr>
            </w:pPr>
            <w:r>
              <w:rPr>
                <w:rFonts w:cs="Arial"/>
                <w:b/>
                <w:bCs/>
                <w:sz w:val="22"/>
                <w:szCs w:val="22"/>
              </w:rPr>
              <w:t xml:space="preserve">Management Assurance </w:t>
            </w:r>
            <w:r>
              <w:rPr>
                <w:rFonts w:cs="Arial"/>
                <w:sz w:val="22"/>
                <w:szCs w:val="22"/>
              </w:rPr>
              <w:t>to specifically cover risk management arrangements and external assurance reports received during the year.</w:t>
            </w:r>
          </w:p>
        </w:tc>
        <w:tc>
          <w:tcPr>
            <w:tcW w:w="2531" w:type="dxa"/>
          </w:tcPr>
          <w:p w14:paraId="5922C720" w14:textId="3FAB78CA" w:rsidR="00BE380F" w:rsidRPr="00BE380F" w:rsidRDefault="00AD1983" w:rsidP="00BE380F">
            <w:pPr>
              <w:rPr>
                <w:rFonts w:cs="Arial"/>
              </w:rPr>
            </w:pPr>
            <w:r>
              <w:rPr>
                <w:rFonts w:cs="Arial"/>
                <w:b/>
                <w:bCs/>
                <w:sz w:val="22"/>
                <w:szCs w:val="22"/>
              </w:rPr>
              <w:t xml:space="preserve">Management Assurance </w:t>
            </w:r>
            <w:r>
              <w:rPr>
                <w:rFonts w:cs="Arial"/>
                <w:sz w:val="22"/>
                <w:szCs w:val="22"/>
              </w:rPr>
              <w:t>to specifically cover risk management arrangements and external assurance reports received during the year</w:t>
            </w:r>
          </w:p>
        </w:tc>
      </w:tr>
      <w:tr w:rsidR="004673D2" w14:paraId="6FDF6D65" w14:textId="77777777" w:rsidTr="002F491E">
        <w:tc>
          <w:tcPr>
            <w:tcW w:w="2552" w:type="dxa"/>
          </w:tcPr>
          <w:p w14:paraId="33BA1A53" w14:textId="79357B86" w:rsidR="00BE380F" w:rsidRPr="00BE380F" w:rsidRDefault="00BE380F" w:rsidP="00BE380F">
            <w:pPr>
              <w:rPr>
                <w:rFonts w:cs="Arial"/>
              </w:rPr>
            </w:pPr>
            <w:r w:rsidRPr="00BE380F">
              <w:rPr>
                <w:rFonts w:eastAsia="Calibri" w:cs="Arial"/>
                <w:b/>
                <w:bCs/>
                <w:sz w:val="22"/>
                <w:szCs w:val="22"/>
              </w:rPr>
              <w:t>Joint Working/Council Trading Companies</w:t>
            </w:r>
            <w:r w:rsidRPr="00BE380F">
              <w:rPr>
                <w:rFonts w:eastAsia="Calibri" w:cs="Arial"/>
                <w:sz w:val="22"/>
                <w:szCs w:val="22"/>
              </w:rPr>
              <w:t xml:space="preserve"> </w:t>
            </w:r>
            <w:r w:rsidRPr="00BE380F">
              <w:rPr>
                <w:rFonts w:eastAsia="Calibri" w:cs="Arial"/>
                <w:b/>
                <w:bCs/>
                <w:sz w:val="22"/>
                <w:szCs w:val="22"/>
              </w:rPr>
              <w:t>evidence based self-assessments</w:t>
            </w:r>
            <w:r w:rsidRPr="00BE380F">
              <w:rPr>
                <w:rFonts w:eastAsia="Calibri" w:cs="Arial"/>
                <w:sz w:val="22"/>
                <w:szCs w:val="22"/>
              </w:rPr>
              <w:t xml:space="preserve"> of governance arrangements reviewed and updated for all but </w:t>
            </w:r>
            <w:r w:rsidR="00C930BD">
              <w:rPr>
                <w:rFonts w:eastAsia="Calibri" w:cs="Arial"/>
                <w:sz w:val="22"/>
                <w:szCs w:val="22"/>
              </w:rPr>
              <w:t>Concilium Assets LLP</w:t>
            </w:r>
            <w:r w:rsidRPr="00BE380F">
              <w:rPr>
                <w:rFonts w:eastAsia="Calibri" w:cs="Arial"/>
                <w:sz w:val="22"/>
                <w:szCs w:val="22"/>
              </w:rPr>
              <w:t>.</w:t>
            </w:r>
          </w:p>
        </w:tc>
        <w:tc>
          <w:tcPr>
            <w:tcW w:w="3221" w:type="dxa"/>
          </w:tcPr>
          <w:p w14:paraId="05909F26" w14:textId="695203FC" w:rsidR="00BE380F" w:rsidRPr="00995AA0" w:rsidRDefault="00C930BD" w:rsidP="00BE380F">
            <w:pPr>
              <w:rPr>
                <w:rFonts w:cs="Arial"/>
              </w:rPr>
            </w:pPr>
            <w:r w:rsidRPr="00995AA0">
              <w:rPr>
                <w:rFonts w:eastAsia="Calibri" w:cs="Arial"/>
                <w:b/>
                <w:bCs/>
                <w:sz w:val="22"/>
                <w:szCs w:val="22"/>
              </w:rPr>
              <w:t>Concilium Assets LLP evidence based self-assessment</w:t>
            </w:r>
            <w:r w:rsidRPr="00995AA0">
              <w:rPr>
                <w:rFonts w:eastAsia="Calibri" w:cs="Arial"/>
                <w:sz w:val="22"/>
                <w:szCs w:val="22"/>
              </w:rPr>
              <w:t xml:space="preserve"> to be undertaken</w:t>
            </w:r>
          </w:p>
        </w:tc>
        <w:tc>
          <w:tcPr>
            <w:tcW w:w="2531" w:type="dxa"/>
          </w:tcPr>
          <w:p w14:paraId="183622BD" w14:textId="4A8A0EA6" w:rsidR="00BE380F" w:rsidRPr="00AD1983" w:rsidRDefault="00AD1983" w:rsidP="00BE380F">
            <w:pPr>
              <w:rPr>
                <w:rFonts w:cs="Arial"/>
              </w:rPr>
            </w:pPr>
            <w:r>
              <w:rPr>
                <w:rFonts w:cs="Arial"/>
                <w:b/>
                <w:bCs/>
              </w:rPr>
              <w:t xml:space="preserve">Update of the </w:t>
            </w:r>
            <w:r w:rsidRPr="00BE380F">
              <w:rPr>
                <w:rFonts w:eastAsia="Calibri" w:cs="Arial"/>
                <w:b/>
                <w:bCs/>
                <w:sz w:val="22"/>
                <w:szCs w:val="22"/>
              </w:rPr>
              <w:t>Joint Working/Council Trading Companies</w:t>
            </w:r>
            <w:r w:rsidRPr="00BE380F">
              <w:rPr>
                <w:rFonts w:eastAsia="Calibri" w:cs="Arial"/>
                <w:sz w:val="22"/>
                <w:szCs w:val="22"/>
              </w:rPr>
              <w:t xml:space="preserve"> </w:t>
            </w:r>
            <w:r w:rsidRPr="00BE380F">
              <w:rPr>
                <w:rFonts w:eastAsia="Calibri" w:cs="Arial"/>
                <w:b/>
                <w:bCs/>
                <w:sz w:val="22"/>
                <w:szCs w:val="22"/>
              </w:rPr>
              <w:t>evidence based self-assessments</w:t>
            </w:r>
            <w:r>
              <w:rPr>
                <w:rFonts w:eastAsia="Calibri" w:cs="Arial"/>
                <w:b/>
                <w:bCs/>
                <w:sz w:val="22"/>
                <w:szCs w:val="22"/>
              </w:rPr>
              <w:t xml:space="preserve"> </w:t>
            </w:r>
            <w:r>
              <w:rPr>
                <w:rFonts w:eastAsia="Calibri" w:cs="Arial"/>
                <w:sz w:val="22"/>
                <w:szCs w:val="22"/>
              </w:rPr>
              <w:t>(expect Concilium)</w:t>
            </w:r>
          </w:p>
        </w:tc>
      </w:tr>
      <w:tr w:rsidR="004673D2" w14:paraId="36BB327A" w14:textId="77777777" w:rsidTr="002F491E">
        <w:tc>
          <w:tcPr>
            <w:tcW w:w="2552" w:type="dxa"/>
          </w:tcPr>
          <w:p w14:paraId="244E6FCA" w14:textId="77777777" w:rsidR="001F7AA3" w:rsidRPr="001F7AA3" w:rsidRDefault="001F7AA3" w:rsidP="001F7AA3">
            <w:pPr>
              <w:rPr>
                <w:rFonts w:eastAsia="Calibri" w:cs="Arial"/>
                <w:sz w:val="22"/>
                <w:szCs w:val="22"/>
              </w:rPr>
            </w:pPr>
            <w:r w:rsidRPr="001F7AA3">
              <w:rPr>
                <w:rFonts w:eastAsia="Calibri" w:cs="Arial"/>
                <w:b/>
                <w:bCs/>
                <w:sz w:val="22"/>
                <w:szCs w:val="22"/>
              </w:rPr>
              <w:t>Internal Audit review of 2/3 core financial systems</w:t>
            </w:r>
            <w:r w:rsidRPr="001F7AA3">
              <w:rPr>
                <w:rFonts w:eastAsia="Calibri" w:cs="Arial"/>
                <w:sz w:val="22"/>
                <w:szCs w:val="22"/>
              </w:rPr>
              <w:t xml:space="preserve"> – 2/3 system reviews each year on a cyclical risk basis supplemented by </w:t>
            </w:r>
            <w:r w:rsidRPr="001F7AA3">
              <w:rPr>
                <w:rFonts w:eastAsia="Calibri" w:cs="Arial"/>
                <w:b/>
                <w:bCs/>
                <w:sz w:val="22"/>
                <w:szCs w:val="22"/>
              </w:rPr>
              <w:t xml:space="preserve">evidence based self-assessments of the others </w:t>
            </w:r>
            <w:r w:rsidRPr="001F7AA3">
              <w:rPr>
                <w:rFonts w:eastAsia="Calibri" w:cs="Arial"/>
                <w:sz w:val="22"/>
                <w:szCs w:val="22"/>
              </w:rPr>
              <w:t xml:space="preserve">undertaken by management. </w:t>
            </w:r>
            <w:r w:rsidRPr="001F7AA3">
              <w:rPr>
                <w:rFonts w:eastAsia="Calibri" w:cs="Arial"/>
                <w:b/>
                <w:bCs/>
                <w:sz w:val="22"/>
                <w:szCs w:val="22"/>
              </w:rPr>
              <w:t>Follow-up of recommendations made the previous year</w:t>
            </w:r>
            <w:r w:rsidRPr="001F7AA3">
              <w:rPr>
                <w:rFonts w:eastAsia="Calibri" w:cs="Arial"/>
                <w:sz w:val="22"/>
                <w:szCs w:val="22"/>
              </w:rPr>
              <w:t>.</w:t>
            </w:r>
          </w:p>
          <w:p w14:paraId="6974B97E" w14:textId="77777777" w:rsidR="00BE380F" w:rsidRDefault="00BE380F" w:rsidP="00BE380F">
            <w:pPr>
              <w:rPr>
                <w:rFonts w:cs="Arial"/>
              </w:rPr>
            </w:pPr>
          </w:p>
        </w:tc>
        <w:tc>
          <w:tcPr>
            <w:tcW w:w="3221" w:type="dxa"/>
          </w:tcPr>
          <w:p w14:paraId="3DFD1614" w14:textId="587A64A4" w:rsidR="00BE380F" w:rsidRPr="001F7AA3" w:rsidRDefault="001F7AA3" w:rsidP="00BE380F">
            <w:pPr>
              <w:rPr>
                <w:rFonts w:cs="Arial"/>
              </w:rPr>
            </w:pPr>
            <w:r w:rsidRPr="001F7AA3">
              <w:rPr>
                <w:rFonts w:eastAsia="Calibri" w:cs="Arial"/>
                <w:b/>
                <w:bCs/>
                <w:sz w:val="22"/>
                <w:szCs w:val="22"/>
              </w:rPr>
              <w:t>All core financial systems: Evidence based self-assessments</w:t>
            </w:r>
            <w:r w:rsidRPr="001F7AA3">
              <w:rPr>
                <w:rFonts w:eastAsia="Calibri" w:cs="Arial"/>
                <w:sz w:val="22"/>
                <w:szCs w:val="22"/>
              </w:rPr>
              <w:t xml:space="preserve"> to be completed by management </w:t>
            </w:r>
            <w:r w:rsidRPr="001F7AA3">
              <w:rPr>
                <w:rFonts w:eastAsia="Calibri" w:cs="Arial"/>
                <w:b/>
                <w:bCs/>
                <w:sz w:val="22"/>
                <w:szCs w:val="22"/>
              </w:rPr>
              <w:t>supplemented by testing undertaken by Internal Audit of authorisations</w:t>
            </w:r>
            <w:r w:rsidRPr="001F7AA3">
              <w:rPr>
                <w:rFonts w:eastAsia="Calibri" w:cs="Arial"/>
                <w:sz w:val="22"/>
                <w:szCs w:val="22"/>
              </w:rPr>
              <w:t xml:space="preserve"> during 2020/21 across all core financial systems and </w:t>
            </w:r>
            <w:r w:rsidRPr="001F7AA3">
              <w:rPr>
                <w:rFonts w:eastAsia="Calibri" w:cs="Arial"/>
                <w:b/>
                <w:bCs/>
                <w:sz w:val="22"/>
                <w:szCs w:val="22"/>
              </w:rPr>
              <w:t>follow-up of recommendations made in 2020/21.</w:t>
            </w:r>
          </w:p>
        </w:tc>
        <w:tc>
          <w:tcPr>
            <w:tcW w:w="2531" w:type="dxa"/>
          </w:tcPr>
          <w:p w14:paraId="0210FAC3" w14:textId="5A81AA80" w:rsidR="00AD1983" w:rsidRPr="001F7AA3" w:rsidRDefault="00AD1983" w:rsidP="00AD1983">
            <w:pPr>
              <w:rPr>
                <w:rFonts w:eastAsia="Calibri" w:cs="Arial"/>
                <w:sz w:val="22"/>
                <w:szCs w:val="22"/>
              </w:rPr>
            </w:pPr>
            <w:r w:rsidRPr="001F7AA3">
              <w:rPr>
                <w:rFonts w:eastAsia="Calibri" w:cs="Arial"/>
                <w:b/>
                <w:bCs/>
                <w:sz w:val="22"/>
                <w:szCs w:val="22"/>
              </w:rPr>
              <w:t>Internal Audit review of 2 core financial systems</w:t>
            </w:r>
            <w:r w:rsidRPr="001F7AA3">
              <w:rPr>
                <w:rFonts w:eastAsia="Calibri" w:cs="Arial"/>
                <w:sz w:val="22"/>
                <w:szCs w:val="22"/>
              </w:rPr>
              <w:t xml:space="preserve"> – 2 system reviews each year on a cyclical risk basis supplemented by </w:t>
            </w:r>
            <w:r w:rsidRPr="001F7AA3">
              <w:rPr>
                <w:rFonts w:eastAsia="Calibri" w:cs="Arial"/>
                <w:b/>
                <w:bCs/>
                <w:sz w:val="22"/>
                <w:szCs w:val="22"/>
              </w:rPr>
              <w:t xml:space="preserve">evidence based self-assessments of the others </w:t>
            </w:r>
            <w:r w:rsidRPr="001F7AA3">
              <w:rPr>
                <w:rFonts w:eastAsia="Calibri" w:cs="Arial"/>
                <w:sz w:val="22"/>
                <w:szCs w:val="22"/>
              </w:rPr>
              <w:t xml:space="preserve">undertaken by management. </w:t>
            </w:r>
            <w:r w:rsidRPr="001F7AA3">
              <w:rPr>
                <w:rFonts w:eastAsia="Calibri" w:cs="Arial"/>
                <w:b/>
                <w:bCs/>
                <w:sz w:val="22"/>
                <w:szCs w:val="22"/>
              </w:rPr>
              <w:t>Follow-up of recommendations made the previous year</w:t>
            </w:r>
            <w:r w:rsidRPr="001F7AA3">
              <w:rPr>
                <w:rFonts w:eastAsia="Calibri" w:cs="Arial"/>
                <w:sz w:val="22"/>
                <w:szCs w:val="22"/>
              </w:rPr>
              <w:t>.</w:t>
            </w:r>
          </w:p>
          <w:p w14:paraId="3144C80C" w14:textId="2D60C0C9" w:rsidR="00BE380F" w:rsidRDefault="00BE380F" w:rsidP="001F7AA3">
            <w:pPr>
              <w:rPr>
                <w:rFonts w:cs="Arial"/>
              </w:rPr>
            </w:pPr>
          </w:p>
        </w:tc>
      </w:tr>
      <w:tr w:rsidR="004673D2" w14:paraId="3F1E64CE" w14:textId="77777777" w:rsidTr="002F491E">
        <w:tc>
          <w:tcPr>
            <w:tcW w:w="2552" w:type="dxa"/>
          </w:tcPr>
          <w:p w14:paraId="468C3C0D" w14:textId="77777777" w:rsidR="00BE380F" w:rsidRDefault="00BE380F" w:rsidP="00BE380F">
            <w:pPr>
              <w:rPr>
                <w:rFonts w:cs="Arial"/>
              </w:rPr>
            </w:pPr>
          </w:p>
        </w:tc>
        <w:tc>
          <w:tcPr>
            <w:tcW w:w="3221" w:type="dxa"/>
          </w:tcPr>
          <w:p w14:paraId="0CE88E60" w14:textId="78BC8434" w:rsidR="00BE380F" w:rsidRPr="00D60EE6" w:rsidRDefault="00D60EE6" w:rsidP="00BE380F">
            <w:pPr>
              <w:rPr>
                <w:rFonts w:cs="Arial"/>
              </w:rPr>
            </w:pPr>
            <w:r w:rsidRPr="00D60EE6">
              <w:rPr>
                <w:rFonts w:eastAsia="Calibri" w:cs="Arial"/>
                <w:b/>
                <w:bCs/>
                <w:sz w:val="22"/>
                <w:szCs w:val="22"/>
              </w:rPr>
              <w:t>Deep Dive: Croydon Public Interest Report</w:t>
            </w:r>
            <w:r w:rsidRPr="00D60EE6">
              <w:rPr>
                <w:rFonts w:eastAsia="Calibri" w:cs="Arial"/>
                <w:sz w:val="22"/>
                <w:szCs w:val="22"/>
              </w:rPr>
              <w:t xml:space="preserve"> – an evidence based self-assessment led by Internal Audit against the recommendations made in this report covering overspends in </w:t>
            </w:r>
            <w:proofErr w:type="spellStart"/>
            <w:r w:rsidRPr="00D60EE6">
              <w:rPr>
                <w:rFonts w:eastAsia="Calibri" w:cs="Arial"/>
                <w:sz w:val="22"/>
                <w:szCs w:val="22"/>
              </w:rPr>
              <w:t>Childrens</w:t>
            </w:r>
            <w:proofErr w:type="spellEnd"/>
            <w:r w:rsidRPr="00D60EE6">
              <w:rPr>
                <w:rFonts w:eastAsia="Calibri" w:cs="Arial"/>
                <w:sz w:val="22"/>
                <w:szCs w:val="22"/>
              </w:rPr>
              <w:t xml:space="preserve"> and Adults, lack of adequate member scrutiny/challenge (based on the review of meeting minutes), overall weak governance in the budget setting and decision making process, increased borrowing used to purchase investment properties.</w:t>
            </w:r>
          </w:p>
        </w:tc>
        <w:tc>
          <w:tcPr>
            <w:tcW w:w="2531" w:type="dxa"/>
          </w:tcPr>
          <w:p w14:paraId="50AAAF92" w14:textId="3B76DB93" w:rsidR="00BE380F" w:rsidRPr="00D60EE6" w:rsidRDefault="00BE380F" w:rsidP="00BE380F">
            <w:pPr>
              <w:rPr>
                <w:rFonts w:cs="Arial"/>
              </w:rPr>
            </w:pPr>
          </w:p>
        </w:tc>
      </w:tr>
      <w:tr w:rsidR="004673D2" w14:paraId="0A48D94E" w14:textId="77777777" w:rsidTr="002F491E">
        <w:tc>
          <w:tcPr>
            <w:tcW w:w="2552" w:type="dxa"/>
          </w:tcPr>
          <w:p w14:paraId="0C0E1AD7" w14:textId="77777777" w:rsidR="00BE380F" w:rsidRDefault="00BE380F" w:rsidP="00BE380F">
            <w:pPr>
              <w:rPr>
                <w:rFonts w:cs="Arial"/>
              </w:rPr>
            </w:pPr>
          </w:p>
        </w:tc>
        <w:tc>
          <w:tcPr>
            <w:tcW w:w="3221" w:type="dxa"/>
          </w:tcPr>
          <w:p w14:paraId="14286214" w14:textId="76C9536E" w:rsidR="00BE380F" w:rsidRPr="00D60EE6" w:rsidRDefault="00D60EE6" w:rsidP="00BE380F">
            <w:pPr>
              <w:rPr>
                <w:rFonts w:cs="Arial"/>
              </w:rPr>
            </w:pPr>
            <w:r w:rsidRPr="00D60EE6">
              <w:rPr>
                <w:rFonts w:eastAsia="Calibri" w:cs="Arial"/>
                <w:b/>
                <w:bCs/>
                <w:sz w:val="22"/>
                <w:szCs w:val="22"/>
              </w:rPr>
              <w:t xml:space="preserve">Deep Dive: CIPFA Financial Management Code – Financial Standards compliance </w:t>
            </w:r>
            <w:r w:rsidRPr="00D60EE6">
              <w:rPr>
                <w:rFonts w:eastAsia="Calibri" w:cs="Arial"/>
                <w:sz w:val="22"/>
                <w:szCs w:val="22"/>
              </w:rPr>
              <w:t xml:space="preserve">– an </w:t>
            </w:r>
            <w:proofErr w:type="gramStart"/>
            <w:r w:rsidRPr="00D60EE6">
              <w:rPr>
                <w:rFonts w:eastAsia="Calibri" w:cs="Arial"/>
                <w:sz w:val="22"/>
                <w:szCs w:val="22"/>
              </w:rPr>
              <w:t>evidence based</w:t>
            </w:r>
            <w:proofErr w:type="gramEnd"/>
            <w:r w:rsidRPr="00D60EE6">
              <w:rPr>
                <w:rFonts w:eastAsia="Calibri" w:cs="Arial"/>
                <w:sz w:val="22"/>
                <w:szCs w:val="22"/>
              </w:rPr>
              <w:t xml:space="preserve"> compliance check led by Internal Audit with input from across the Council.</w:t>
            </w:r>
          </w:p>
        </w:tc>
        <w:tc>
          <w:tcPr>
            <w:tcW w:w="2531" w:type="dxa"/>
          </w:tcPr>
          <w:p w14:paraId="6C47670A" w14:textId="782482CA" w:rsidR="00BE380F" w:rsidRPr="00D60EE6" w:rsidRDefault="00AD1983" w:rsidP="00D60EE6">
            <w:pPr>
              <w:rPr>
                <w:rFonts w:cs="Arial"/>
              </w:rPr>
            </w:pPr>
            <w:r w:rsidRPr="00D60EE6">
              <w:rPr>
                <w:rFonts w:eastAsia="Calibri" w:cs="Arial"/>
                <w:b/>
                <w:bCs/>
                <w:sz w:val="22"/>
                <w:szCs w:val="22"/>
              </w:rPr>
              <w:t xml:space="preserve">Deep Dive: CIPFA Financial Management Code – Financial Standards compliance </w:t>
            </w:r>
            <w:r w:rsidRPr="00D60EE6">
              <w:rPr>
                <w:rFonts w:eastAsia="Calibri" w:cs="Arial"/>
                <w:sz w:val="22"/>
                <w:szCs w:val="22"/>
              </w:rPr>
              <w:t xml:space="preserve">– an </w:t>
            </w:r>
            <w:proofErr w:type="gramStart"/>
            <w:r w:rsidRPr="00D60EE6">
              <w:rPr>
                <w:rFonts w:eastAsia="Calibri" w:cs="Arial"/>
                <w:sz w:val="22"/>
                <w:szCs w:val="22"/>
              </w:rPr>
              <w:t>evidence based</w:t>
            </w:r>
            <w:proofErr w:type="gramEnd"/>
            <w:r w:rsidRPr="00D60EE6">
              <w:rPr>
                <w:rFonts w:eastAsia="Calibri" w:cs="Arial"/>
                <w:sz w:val="22"/>
                <w:szCs w:val="22"/>
              </w:rPr>
              <w:t xml:space="preserve"> compliance check led </w:t>
            </w:r>
            <w:r w:rsidRPr="00D60EE6">
              <w:rPr>
                <w:rFonts w:eastAsia="Calibri" w:cs="Arial"/>
                <w:sz w:val="22"/>
                <w:szCs w:val="22"/>
              </w:rPr>
              <w:lastRenderedPageBreak/>
              <w:t>by Internal Audit with input from across the Council.</w:t>
            </w:r>
            <w:r>
              <w:rPr>
                <w:rFonts w:eastAsia="Calibri" w:cs="Arial"/>
                <w:sz w:val="22"/>
                <w:szCs w:val="22"/>
              </w:rPr>
              <w:t xml:space="preserve"> (</w:t>
            </w:r>
            <w:proofErr w:type="gramStart"/>
            <w:r>
              <w:rPr>
                <w:rFonts w:eastAsia="Calibri" w:cs="Arial"/>
                <w:sz w:val="22"/>
                <w:szCs w:val="22"/>
              </w:rPr>
              <w:t>continuation</w:t>
            </w:r>
            <w:proofErr w:type="gramEnd"/>
            <w:r>
              <w:rPr>
                <w:rFonts w:eastAsia="Calibri" w:cs="Arial"/>
                <w:sz w:val="22"/>
                <w:szCs w:val="22"/>
              </w:rPr>
              <w:t xml:space="preserve"> of work started last year)</w:t>
            </w:r>
          </w:p>
        </w:tc>
      </w:tr>
      <w:tr w:rsidR="004673D2" w14:paraId="265F9545" w14:textId="77777777" w:rsidTr="002F491E">
        <w:tc>
          <w:tcPr>
            <w:tcW w:w="2552" w:type="dxa"/>
          </w:tcPr>
          <w:p w14:paraId="27C543C1" w14:textId="77777777" w:rsidR="00BE380F" w:rsidRDefault="00BE380F" w:rsidP="00BE380F">
            <w:pPr>
              <w:rPr>
                <w:rFonts w:cs="Arial"/>
              </w:rPr>
            </w:pPr>
          </w:p>
        </w:tc>
        <w:tc>
          <w:tcPr>
            <w:tcW w:w="3221" w:type="dxa"/>
          </w:tcPr>
          <w:p w14:paraId="55C5025A" w14:textId="159997BF" w:rsidR="00BE380F" w:rsidRPr="00D60EE6" w:rsidRDefault="00D60EE6" w:rsidP="00BE380F">
            <w:pPr>
              <w:rPr>
                <w:rFonts w:cs="Arial"/>
              </w:rPr>
            </w:pPr>
            <w:r w:rsidRPr="00D60EE6">
              <w:rPr>
                <w:rFonts w:eastAsia="Calibri" w:cs="Arial"/>
                <w:b/>
                <w:bCs/>
                <w:sz w:val="22"/>
                <w:szCs w:val="22"/>
              </w:rPr>
              <w:t xml:space="preserve">Deep Dive: MHCLG Addressing cultural and governance failings in local authorities: lessons from recent interventions </w:t>
            </w:r>
            <w:r w:rsidRPr="00D60EE6">
              <w:rPr>
                <w:rFonts w:eastAsia="Calibri" w:cs="Arial"/>
                <w:sz w:val="22"/>
                <w:szCs w:val="22"/>
              </w:rPr>
              <w:t>– an evidenced based self-assessment led by Internal Audit.</w:t>
            </w:r>
          </w:p>
        </w:tc>
        <w:tc>
          <w:tcPr>
            <w:tcW w:w="2531" w:type="dxa"/>
          </w:tcPr>
          <w:p w14:paraId="01F81C3A" w14:textId="2BBA82F5" w:rsidR="00BE380F" w:rsidRPr="00D60EE6" w:rsidRDefault="00BE380F" w:rsidP="00D60EE6">
            <w:pPr>
              <w:rPr>
                <w:rFonts w:cs="Arial"/>
              </w:rPr>
            </w:pPr>
          </w:p>
        </w:tc>
      </w:tr>
    </w:tbl>
    <w:p w14:paraId="34A754F7" w14:textId="77777777" w:rsidR="002F491E" w:rsidRDefault="002F491E" w:rsidP="00AD7BE0">
      <w:pPr>
        <w:ind w:left="709" w:hanging="709"/>
        <w:rPr>
          <w:rFonts w:cs="Arial"/>
        </w:rPr>
      </w:pPr>
    </w:p>
    <w:p w14:paraId="7064E310" w14:textId="2CE446C4" w:rsidR="00AD7BE0" w:rsidRDefault="00AD7BE0" w:rsidP="00AD7BE0">
      <w:pPr>
        <w:ind w:left="720" w:hanging="720"/>
        <w:outlineLvl w:val="1"/>
        <w:rPr>
          <w:rFonts w:cs="Arial"/>
          <w:bCs/>
          <w:szCs w:val="24"/>
        </w:rPr>
      </w:pPr>
      <w:r w:rsidRPr="0012522B">
        <w:rPr>
          <w:rFonts w:cs="Arial"/>
          <w:bCs/>
          <w:szCs w:val="24"/>
        </w:rPr>
        <w:t>2.1</w:t>
      </w:r>
      <w:r w:rsidR="0030163B">
        <w:rPr>
          <w:rFonts w:cs="Arial"/>
          <w:bCs/>
          <w:szCs w:val="24"/>
        </w:rPr>
        <w:t>1</w:t>
      </w:r>
      <w:r w:rsidRPr="0012522B">
        <w:rPr>
          <w:rFonts w:cs="Arial"/>
          <w:bCs/>
          <w:szCs w:val="24"/>
        </w:rPr>
        <w:tab/>
        <w:t xml:space="preserve">Internal Audit co-ordinates and reviews the evidence/assurance provided as part of the process and this is used as a basis for the preparation of the AGS.   </w:t>
      </w:r>
    </w:p>
    <w:p w14:paraId="6967D692" w14:textId="77777777" w:rsidR="00AD7BE0" w:rsidRDefault="00AD7BE0" w:rsidP="00AD7BE0">
      <w:pPr>
        <w:ind w:left="720" w:hanging="720"/>
        <w:outlineLvl w:val="1"/>
        <w:rPr>
          <w:rFonts w:cs="Arial"/>
          <w:bCs/>
          <w:szCs w:val="24"/>
        </w:rPr>
      </w:pPr>
    </w:p>
    <w:p w14:paraId="4F9F7F52" w14:textId="0712955D" w:rsidR="00AD7BE0" w:rsidRPr="007A2FBF" w:rsidRDefault="00AD7BE0" w:rsidP="00AD7BE0">
      <w:pPr>
        <w:ind w:left="720" w:hanging="720"/>
        <w:outlineLvl w:val="1"/>
        <w:rPr>
          <w:rFonts w:eastAsia="Calibri" w:cs="Arial"/>
          <w:szCs w:val="24"/>
          <w:lang w:eastAsia="en-GB"/>
        </w:rPr>
      </w:pPr>
      <w:r>
        <w:rPr>
          <w:rFonts w:cs="Arial"/>
          <w:bCs/>
          <w:szCs w:val="24"/>
        </w:rPr>
        <w:t>2.1</w:t>
      </w:r>
      <w:r w:rsidR="0030163B">
        <w:rPr>
          <w:rFonts w:cs="Arial"/>
          <w:bCs/>
          <w:szCs w:val="24"/>
        </w:rPr>
        <w:t>2</w:t>
      </w:r>
      <w:r>
        <w:rPr>
          <w:rFonts w:cs="Arial"/>
          <w:bCs/>
          <w:szCs w:val="24"/>
        </w:rPr>
        <w:tab/>
        <w:t xml:space="preserve">The 2019/20 </w:t>
      </w:r>
      <w:r w:rsidR="00AD1983">
        <w:rPr>
          <w:rFonts w:cs="Arial"/>
          <w:bCs/>
          <w:szCs w:val="24"/>
        </w:rPr>
        <w:t xml:space="preserve">and 2020/21 </w:t>
      </w:r>
      <w:r>
        <w:rPr>
          <w:rFonts w:cs="Arial"/>
          <w:bCs/>
          <w:szCs w:val="24"/>
        </w:rPr>
        <w:t>Annual Governance Statement</w:t>
      </w:r>
      <w:r w:rsidR="00AD1983">
        <w:rPr>
          <w:rFonts w:cs="Arial"/>
          <w:bCs/>
          <w:szCs w:val="24"/>
        </w:rPr>
        <w:t>s</w:t>
      </w:r>
      <w:r>
        <w:rPr>
          <w:rFonts w:cs="Arial"/>
          <w:bCs/>
          <w:szCs w:val="24"/>
        </w:rPr>
        <w:t xml:space="preserve"> include</w:t>
      </w:r>
      <w:r w:rsidR="0030163B">
        <w:rPr>
          <w:rFonts w:cs="Arial"/>
          <w:bCs/>
          <w:szCs w:val="24"/>
        </w:rPr>
        <w:t>d</w:t>
      </w:r>
      <w:r>
        <w:rPr>
          <w:rFonts w:cs="Arial"/>
          <w:bCs/>
          <w:szCs w:val="24"/>
        </w:rPr>
        <w:t xml:space="preserve"> two new significant areas: the Chartered Institute of Public Finance (CIPFA) issued a briefing note requiring Council’s to include details of the impact of the Covid 19 pandemic on governance within their 2019/20 statements and </w:t>
      </w:r>
      <w:r w:rsidRPr="00592734">
        <w:rPr>
          <w:rFonts w:cs="Arial"/>
          <w:szCs w:val="24"/>
        </w:rPr>
        <w:t xml:space="preserve">the Committee on Standards in Public Life published its report on local government ethical standards </w:t>
      </w:r>
      <w:r>
        <w:rPr>
          <w:rFonts w:cs="Arial"/>
          <w:szCs w:val="24"/>
        </w:rPr>
        <w:t xml:space="preserve">stating that it is best practice to </w:t>
      </w:r>
      <w:r w:rsidRPr="007A2FBF">
        <w:rPr>
          <w:rFonts w:eastAsia="Calibri" w:cs="Arial"/>
          <w:szCs w:val="24"/>
          <w:lang w:eastAsia="en-GB"/>
        </w:rPr>
        <w:t xml:space="preserve">report on separate bodies they have set up or which they own as part of their annual governance statement, and give a full picture of their relationship with those bodies. </w:t>
      </w:r>
      <w:r w:rsidR="00AD1983">
        <w:rPr>
          <w:rFonts w:eastAsia="Calibri" w:cs="Arial"/>
          <w:szCs w:val="24"/>
          <w:lang w:eastAsia="en-GB"/>
        </w:rPr>
        <w:t>The specific section on the impact of Covid 19 has been removed for the 2021/22 AGS with any relevant bits being integrated into other parts of the statement. However the section on separate bodies has been retained.</w:t>
      </w:r>
    </w:p>
    <w:p w14:paraId="34E4564A" w14:textId="77777777" w:rsidR="00AD7BE0" w:rsidRPr="0012522B" w:rsidRDefault="00AD7BE0" w:rsidP="00AD7BE0">
      <w:pPr>
        <w:outlineLvl w:val="1"/>
        <w:rPr>
          <w:rFonts w:cs="Arial"/>
          <w:bCs/>
          <w:szCs w:val="24"/>
        </w:rPr>
      </w:pPr>
    </w:p>
    <w:p w14:paraId="36CF2522" w14:textId="4DD40049" w:rsidR="00AD7BE0" w:rsidRPr="0012522B" w:rsidRDefault="00AD7BE0" w:rsidP="00AD7BE0">
      <w:pPr>
        <w:ind w:left="720" w:hanging="720"/>
        <w:outlineLvl w:val="1"/>
        <w:rPr>
          <w:rFonts w:cs="Arial"/>
          <w:bCs/>
          <w:szCs w:val="24"/>
        </w:rPr>
      </w:pPr>
      <w:r w:rsidRPr="0012522B">
        <w:rPr>
          <w:rFonts w:cs="Arial"/>
          <w:bCs/>
          <w:szCs w:val="24"/>
        </w:rPr>
        <w:t>2.1</w:t>
      </w:r>
      <w:r w:rsidR="0030163B">
        <w:rPr>
          <w:rFonts w:cs="Arial"/>
          <w:bCs/>
          <w:szCs w:val="24"/>
        </w:rPr>
        <w:t>3</w:t>
      </w:r>
      <w:r w:rsidRPr="0012522B">
        <w:rPr>
          <w:rFonts w:cs="Arial"/>
          <w:bCs/>
          <w:szCs w:val="24"/>
        </w:rPr>
        <w:tab/>
        <w:t xml:space="preserve">The </w:t>
      </w:r>
      <w:r w:rsidR="00D533B3">
        <w:rPr>
          <w:rFonts w:cs="Arial"/>
          <w:bCs/>
          <w:szCs w:val="24"/>
        </w:rPr>
        <w:t>d</w:t>
      </w:r>
      <w:r w:rsidR="007454CB">
        <w:rPr>
          <w:rFonts w:cs="Arial"/>
          <w:bCs/>
          <w:szCs w:val="24"/>
        </w:rPr>
        <w:t xml:space="preserve">raft </w:t>
      </w:r>
      <w:r w:rsidRPr="0012522B">
        <w:rPr>
          <w:rFonts w:cs="Arial"/>
          <w:bCs/>
          <w:szCs w:val="24"/>
        </w:rPr>
        <w:t xml:space="preserve">Annual Governance Statement (Appendix 1) is </w:t>
      </w:r>
      <w:r w:rsidR="00D533B3">
        <w:rPr>
          <w:rFonts w:cs="Arial"/>
          <w:bCs/>
          <w:szCs w:val="24"/>
        </w:rPr>
        <w:t>written</w:t>
      </w:r>
      <w:r w:rsidRPr="0012522B">
        <w:rPr>
          <w:rFonts w:cs="Arial"/>
          <w:bCs/>
          <w:szCs w:val="24"/>
        </w:rPr>
        <w:t xml:space="preserve"> on behalf of the Leader of the Council and the </w:t>
      </w:r>
      <w:r w:rsidR="001E0349">
        <w:rPr>
          <w:rFonts w:cs="Arial"/>
          <w:bCs/>
          <w:szCs w:val="24"/>
        </w:rPr>
        <w:t xml:space="preserve">Interim </w:t>
      </w:r>
      <w:r w:rsidRPr="0012522B">
        <w:rPr>
          <w:rFonts w:cs="Arial"/>
          <w:bCs/>
          <w:szCs w:val="24"/>
        </w:rPr>
        <w:t xml:space="preserve">Chief Executive </w:t>
      </w:r>
      <w:r w:rsidR="007454CB">
        <w:rPr>
          <w:rFonts w:cs="Arial"/>
          <w:bCs/>
          <w:szCs w:val="24"/>
        </w:rPr>
        <w:t xml:space="preserve">and was prepared for </w:t>
      </w:r>
      <w:r>
        <w:rPr>
          <w:rFonts w:cs="Arial"/>
          <w:bCs/>
          <w:szCs w:val="24"/>
        </w:rPr>
        <w:t>inclu</w:t>
      </w:r>
      <w:r w:rsidR="007454CB">
        <w:rPr>
          <w:rFonts w:cs="Arial"/>
          <w:bCs/>
          <w:szCs w:val="24"/>
        </w:rPr>
        <w:t>sion i</w:t>
      </w:r>
      <w:r>
        <w:rPr>
          <w:rFonts w:cs="Arial"/>
          <w:bCs/>
          <w:szCs w:val="24"/>
        </w:rPr>
        <w:t>n the 20</w:t>
      </w:r>
      <w:r w:rsidR="007454CB">
        <w:rPr>
          <w:rFonts w:cs="Arial"/>
          <w:bCs/>
          <w:szCs w:val="24"/>
        </w:rPr>
        <w:t>2</w:t>
      </w:r>
      <w:r w:rsidR="00AD1983">
        <w:rPr>
          <w:rFonts w:cs="Arial"/>
          <w:bCs/>
          <w:szCs w:val="24"/>
        </w:rPr>
        <w:t>1</w:t>
      </w:r>
      <w:r>
        <w:rPr>
          <w:rFonts w:cs="Arial"/>
          <w:bCs/>
          <w:szCs w:val="24"/>
        </w:rPr>
        <w:t>/2</w:t>
      </w:r>
      <w:r w:rsidR="00AD1983">
        <w:rPr>
          <w:rFonts w:cs="Arial"/>
          <w:bCs/>
          <w:szCs w:val="24"/>
        </w:rPr>
        <w:t>2</w:t>
      </w:r>
      <w:r>
        <w:rPr>
          <w:rFonts w:cs="Arial"/>
          <w:bCs/>
          <w:szCs w:val="24"/>
        </w:rPr>
        <w:t xml:space="preserve"> draft accounts </w:t>
      </w:r>
      <w:r w:rsidR="00AD1983">
        <w:rPr>
          <w:rFonts w:cs="Arial"/>
          <w:bCs/>
          <w:szCs w:val="24"/>
        </w:rPr>
        <w:t xml:space="preserve">to be </w:t>
      </w:r>
      <w:r>
        <w:rPr>
          <w:rFonts w:cs="Arial"/>
          <w:bCs/>
          <w:szCs w:val="24"/>
        </w:rPr>
        <w:t xml:space="preserve">published </w:t>
      </w:r>
      <w:r w:rsidR="001E0349">
        <w:rPr>
          <w:rFonts w:cs="Arial"/>
          <w:bCs/>
          <w:szCs w:val="24"/>
        </w:rPr>
        <w:t>by the end of July</w:t>
      </w:r>
      <w:r w:rsidRPr="0012522B">
        <w:rPr>
          <w:rFonts w:cs="Arial"/>
          <w:bCs/>
          <w:szCs w:val="24"/>
        </w:rPr>
        <w:t xml:space="preserve">.  </w:t>
      </w:r>
      <w:r w:rsidR="00D533B3">
        <w:rPr>
          <w:rFonts w:cs="Arial"/>
          <w:bCs/>
          <w:szCs w:val="24"/>
        </w:rPr>
        <w:t>The draft AGS outlines the key findings of the annual review of governance so far.  This review is ongoing and once completed will be reflected in the final AGS which will be brought back to the GARMS Committee for review prior to being</w:t>
      </w:r>
      <w:r w:rsidRPr="0012522B">
        <w:rPr>
          <w:rFonts w:cs="Arial"/>
          <w:bCs/>
          <w:szCs w:val="24"/>
        </w:rPr>
        <w:t xml:space="preserve"> signed off by the Leader and the </w:t>
      </w:r>
      <w:r w:rsidR="001E0349">
        <w:rPr>
          <w:rFonts w:cs="Arial"/>
          <w:bCs/>
          <w:szCs w:val="24"/>
        </w:rPr>
        <w:t xml:space="preserve">Interim </w:t>
      </w:r>
      <w:r w:rsidRPr="0012522B">
        <w:rPr>
          <w:rFonts w:cs="Arial"/>
          <w:bCs/>
          <w:szCs w:val="24"/>
        </w:rPr>
        <w:t xml:space="preserve">Chief Executive and included with the </w:t>
      </w:r>
      <w:r w:rsidR="00D533B3">
        <w:rPr>
          <w:rFonts w:cs="Arial"/>
          <w:bCs/>
          <w:szCs w:val="24"/>
        </w:rPr>
        <w:t xml:space="preserve">final </w:t>
      </w:r>
      <w:r w:rsidRPr="0012522B">
        <w:rPr>
          <w:rFonts w:cs="Arial"/>
          <w:bCs/>
          <w:szCs w:val="24"/>
        </w:rPr>
        <w:t>annual accounts</w:t>
      </w:r>
      <w:r w:rsidR="00D533B3">
        <w:rPr>
          <w:rFonts w:cs="Arial"/>
          <w:bCs/>
          <w:szCs w:val="24"/>
        </w:rPr>
        <w:t xml:space="preserve">. This </w:t>
      </w:r>
      <w:r w:rsidRPr="0012522B">
        <w:rPr>
          <w:rFonts w:cs="Arial"/>
          <w:bCs/>
          <w:szCs w:val="24"/>
        </w:rPr>
        <w:t>meet</w:t>
      </w:r>
      <w:r w:rsidR="00D533B3">
        <w:rPr>
          <w:rFonts w:cs="Arial"/>
          <w:bCs/>
          <w:szCs w:val="24"/>
        </w:rPr>
        <w:t>s</w:t>
      </w:r>
      <w:r w:rsidRPr="0012522B">
        <w:rPr>
          <w:rFonts w:cs="Arial"/>
          <w:bCs/>
          <w:szCs w:val="24"/>
        </w:rPr>
        <w:t xml:space="preserve"> the statutory requirement of Regulation 6 of the Accounts and Audit Regulations 2015 which requires authorities to “conduct a review at least once in a year of the effectiveness of its system of internal control” </w:t>
      </w:r>
    </w:p>
    <w:p w14:paraId="3469E0D9" w14:textId="77777777" w:rsidR="00213BE7" w:rsidRDefault="00213BE7" w:rsidP="00213BE7">
      <w:pPr>
        <w:pStyle w:val="Heading2"/>
      </w:pPr>
      <w:r>
        <w:t>Legal Implications</w:t>
      </w:r>
    </w:p>
    <w:p w14:paraId="7910F3D6" w14:textId="77777777" w:rsidR="00D533B3" w:rsidRDefault="00D533B3" w:rsidP="00D533B3">
      <w:pPr>
        <w:keepNext/>
        <w:outlineLvl w:val="3"/>
        <w:rPr>
          <w:rFonts w:cs="Arial"/>
        </w:rPr>
      </w:pPr>
    </w:p>
    <w:p w14:paraId="2A0263B1" w14:textId="6B06A5BB" w:rsidR="00D533B3" w:rsidRPr="00D533B3" w:rsidRDefault="00D533B3" w:rsidP="00D533B3">
      <w:pPr>
        <w:keepNext/>
        <w:outlineLvl w:val="3"/>
        <w:rPr>
          <w:rFonts w:cs="Arial"/>
        </w:rPr>
      </w:pPr>
      <w:r w:rsidRPr="00D533B3">
        <w:rPr>
          <w:rFonts w:cs="Arial"/>
        </w:rPr>
        <w:t>As covered in the main body of the report.</w:t>
      </w:r>
    </w:p>
    <w:p w14:paraId="41BB405D" w14:textId="77777777" w:rsidR="002A2389" w:rsidRDefault="002A2389" w:rsidP="003D2FFE">
      <w:pPr>
        <w:pStyle w:val="Heading2"/>
        <w:spacing w:after="240"/>
      </w:pPr>
      <w:r>
        <w:t>Financial Implications</w:t>
      </w:r>
    </w:p>
    <w:p w14:paraId="08A11B1D" w14:textId="77777777" w:rsidR="00D533B3" w:rsidRDefault="00D533B3" w:rsidP="00D533B3">
      <w:pPr>
        <w:rPr>
          <w:rFonts w:cs="Arial"/>
        </w:rPr>
      </w:pPr>
      <w:r>
        <w:t>There are no financial implications to this report.</w:t>
      </w:r>
    </w:p>
    <w:p w14:paraId="5ACE80EE" w14:textId="77777777" w:rsidR="00C32DAE" w:rsidRPr="003D2FFE" w:rsidRDefault="00C32DAE" w:rsidP="003D2FFE">
      <w:pPr>
        <w:pStyle w:val="Heading2"/>
        <w:spacing w:after="240"/>
      </w:pPr>
      <w:r>
        <w:lastRenderedPageBreak/>
        <w:t>Risk Management Implications</w:t>
      </w:r>
    </w:p>
    <w:p w14:paraId="33541738" w14:textId="50F30F16"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3D1B5E">
        <w:rPr>
          <w:rFonts w:cs="Arial"/>
          <w:b/>
          <w:bCs/>
          <w:strike/>
          <w:szCs w:val="24"/>
          <w:lang w:val="en-US" w:eastAsia="en-GB"/>
        </w:rPr>
        <w:t>Yes</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17969623"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3D1B5E">
        <w:rPr>
          <w:rFonts w:cs="Arial"/>
          <w:b/>
          <w:bCs/>
          <w:strike/>
          <w:szCs w:val="24"/>
          <w:lang w:val="en-US" w:eastAsia="en-GB"/>
        </w:rPr>
        <w:t>Yes</w:t>
      </w:r>
      <w:r w:rsidRPr="00570F59">
        <w:rPr>
          <w:rFonts w:cs="Arial"/>
          <w:b/>
          <w:bCs/>
          <w:szCs w:val="24"/>
          <w:lang w:val="en-US" w:eastAsia="en-GB"/>
        </w:rPr>
        <w:t>/No</w:t>
      </w:r>
      <w:r w:rsidRPr="00570F59">
        <w:rPr>
          <w:rFonts w:cs="Arial"/>
          <w:szCs w:val="24"/>
          <w:lang w:val="en-US" w:eastAsia="en-GB"/>
        </w:rPr>
        <w:t> </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C5764F" w14:textId="070A79B6"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3D1B5E">
        <w:rPr>
          <w:rFonts w:cs="Arial"/>
          <w:b/>
          <w:bCs/>
          <w:strike/>
          <w:szCs w:val="24"/>
          <w:lang w:val="en-US" w:eastAsia="en-GB"/>
        </w:rPr>
        <w:t>Yes/No</w:t>
      </w:r>
      <w:r w:rsidRPr="00570F59">
        <w:rPr>
          <w:rFonts w:cs="Arial"/>
          <w:b/>
          <w:bCs/>
          <w:szCs w:val="24"/>
          <w:lang w:val="en-US" w:eastAsia="en-GB"/>
        </w:rPr>
        <w:t>/n/a </w:t>
      </w:r>
    </w:p>
    <w:p w14:paraId="66589F52" w14:textId="77777777" w:rsidR="00570F59" w:rsidRPr="00570F59" w:rsidRDefault="00570F59" w:rsidP="00570F59">
      <w:pPr>
        <w:textAlignment w:val="baseline"/>
        <w:rPr>
          <w:rFonts w:ascii="Segoe UI" w:hAnsi="Segoe UI" w:cs="Segoe UI"/>
          <w:sz w:val="18"/>
          <w:szCs w:val="18"/>
          <w:lang w:eastAsia="en-GB"/>
        </w:rPr>
      </w:pPr>
      <w:r w:rsidRPr="00570F59">
        <w:rPr>
          <w:rFonts w:cs="Arial"/>
          <w:szCs w:val="24"/>
          <w:lang w:eastAsia="en-GB"/>
        </w:rPr>
        <w:t> </w:t>
      </w:r>
    </w:p>
    <w:p w14:paraId="70E4F8D5" w14:textId="4EBD4F47" w:rsidR="00570F59" w:rsidRPr="00570F59" w:rsidRDefault="003D1B5E" w:rsidP="00570F59">
      <w:pPr>
        <w:textAlignment w:val="baseline"/>
        <w:rPr>
          <w:rFonts w:ascii="Segoe UI" w:hAnsi="Segoe UI" w:cs="Segoe UI"/>
          <w:sz w:val="18"/>
          <w:szCs w:val="18"/>
          <w:lang w:eastAsia="en-GB"/>
        </w:rPr>
      </w:pPr>
      <w:r>
        <w:rPr>
          <w:rFonts w:cs="Arial"/>
          <w:szCs w:val="24"/>
          <w:lang w:eastAsia="en-GB"/>
        </w:rPr>
        <w:t>This is an information report therefore there are no</w:t>
      </w:r>
      <w:r w:rsidR="00570F59" w:rsidRPr="00570F59">
        <w:rPr>
          <w:rFonts w:cs="Arial"/>
          <w:szCs w:val="24"/>
          <w:lang w:eastAsia="en-GB"/>
        </w:rPr>
        <w:t xml:space="preserve"> key risks </w:t>
      </w:r>
      <w:r>
        <w:rPr>
          <w:rFonts w:cs="Arial"/>
          <w:szCs w:val="24"/>
          <w:lang w:eastAsia="en-GB"/>
        </w:rPr>
        <w:t>to</w:t>
      </w:r>
      <w:r w:rsidR="00570F59" w:rsidRPr="00570F59">
        <w:rPr>
          <w:rFonts w:cs="Arial"/>
          <w:szCs w:val="24"/>
          <w:lang w:eastAsia="en-GB"/>
        </w:rPr>
        <w:t xml:space="preserve"> be </w:t>
      </w:r>
      <w:proofErr w:type="gramStart"/>
      <w:r w:rsidR="00570F59" w:rsidRPr="00570F59">
        <w:rPr>
          <w:rFonts w:cs="Arial"/>
          <w:szCs w:val="24"/>
          <w:lang w:eastAsia="en-GB"/>
        </w:rPr>
        <w:t>taken into account</w:t>
      </w:r>
      <w:proofErr w:type="gramEnd"/>
      <w:r w:rsidR="00570F59" w:rsidRPr="00570F59">
        <w:rPr>
          <w:rFonts w:cs="Arial"/>
          <w:szCs w:val="24"/>
          <w:lang w:eastAsia="en-GB"/>
        </w:rPr>
        <w:t xml:space="preserve"> </w:t>
      </w:r>
      <w:r>
        <w:rPr>
          <w:rFonts w:cs="Arial"/>
          <w:szCs w:val="24"/>
          <w:lang w:eastAsia="en-GB"/>
        </w:rPr>
        <w:t>as there are no</w:t>
      </w:r>
      <w:r w:rsidR="00570F59" w:rsidRPr="00570F59">
        <w:rPr>
          <w:rFonts w:cs="Arial"/>
          <w:szCs w:val="24"/>
          <w:lang w:eastAsia="en-GB"/>
        </w:rPr>
        <w:t xml:space="preserve"> recommendations in this report</w:t>
      </w:r>
      <w:r>
        <w:rPr>
          <w:rFonts w:cs="Arial"/>
          <w:szCs w:val="24"/>
          <w:lang w:eastAsia="en-GB"/>
        </w:rPr>
        <w:t xml:space="preserve"> however the risk of not preparing an AGS is outlined below</w:t>
      </w:r>
      <w:r w:rsidR="00570F59" w:rsidRPr="00570F59">
        <w:rPr>
          <w:rFonts w:cs="Arial"/>
          <w:szCs w:val="24"/>
          <w:lang w:eastAsia="en-GB"/>
        </w:rPr>
        <w:t>: </w:t>
      </w:r>
    </w:p>
    <w:p w14:paraId="1B2B00BD" w14:textId="77777777" w:rsidR="00570F59" w:rsidRPr="00570F59" w:rsidRDefault="00570F59" w:rsidP="00570F59">
      <w:pPr>
        <w:ind w:left="555" w:right="135" w:hanging="555"/>
        <w:textAlignment w:val="baseline"/>
        <w:rPr>
          <w:rFonts w:ascii="Segoe UI" w:hAnsi="Segoe UI" w:cs="Segoe UI"/>
          <w:sz w:val="18"/>
          <w:szCs w:val="18"/>
          <w:lang w:eastAsia="en-GB"/>
        </w:rPr>
      </w:pPr>
      <w:r w:rsidRPr="00570F59">
        <w:rPr>
          <w:rFonts w:cs="Arial"/>
          <w:szCs w:val="24"/>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21"/>
        <w:gridCol w:w="3176"/>
        <w:gridCol w:w="1996"/>
      </w:tblGrid>
      <w:tr w:rsidR="00570F59" w:rsidRPr="00570F59" w14:paraId="596F8686" w14:textId="77777777" w:rsidTr="003D1B5E">
        <w:tc>
          <w:tcPr>
            <w:tcW w:w="31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801CA"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Risk Description</w:t>
            </w:r>
            <w:r w:rsidRPr="00570F59">
              <w:rPr>
                <w:rFonts w:cs="Arial"/>
                <w:szCs w:val="24"/>
                <w:lang w:eastAsia="en-GB"/>
              </w:rPr>
              <w:t> </w:t>
            </w:r>
          </w:p>
        </w:tc>
        <w:tc>
          <w:tcPr>
            <w:tcW w:w="31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985E4" w14:textId="77777777" w:rsidR="00570F59" w:rsidRPr="00570F59" w:rsidRDefault="00570F59" w:rsidP="00570F59">
            <w:pPr>
              <w:ind w:right="135"/>
              <w:textAlignment w:val="baseline"/>
              <w:rPr>
                <w:rFonts w:ascii="Times New Roman" w:hAnsi="Times New Roman"/>
                <w:szCs w:val="24"/>
                <w:lang w:eastAsia="en-GB"/>
              </w:rPr>
            </w:pPr>
            <w:r w:rsidRPr="00570F59">
              <w:rPr>
                <w:rFonts w:cs="Arial"/>
                <w:b/>
                <w:bCs/>
                <w:szCs w:val="24"/>
                <w:lang w:val="en-US" w:eastAsia="en-GB"/>
              </w:rPr>
              <w:t>Mitigations</w:t>
            </w:r>
            <w:r w:rsidRPr="00570F59">
              <w:rPr>
                <w:rFonts w:cs="Arial"/>
                <w:szCs w:val="24"/>
                <w:lang w:eastAsia="en-GB"/>
              </w:rPr>
              <w:t> </w:t>
            </w:r>
          </w:p>
        </w:tc>
        <w:tc>
          <w:tcPr>
            <w:tcW w:w="199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237B2" w14:textId="77777777" w:rsidR="00570F59" w:rsidRPr="00570F59" w:rsidRDefault="00570F59" w:rsidP="00570F59">
            <w:pPr>
              <w:ind w:left="165" w:right="135"/>
              <w:textAlignment w:val="baseline"/>
              <w:rPr>
                <w:rFonts w:ascii="Times New Roman" w:hAnsi="Times New Roman"/>
                <w:szCs w:val="24"/>
                <w:lang w:eastAsia="en-GB"/>
              </w:rPr>
            </w:pPr>
            <w:r w:rsidRPr="00570F59">
              <w:rPr>
                <w:rFonts w:cs="Arial"/>
                <w:b/>
                <w:bCs/>
                <w:szCs w:val="24"/>
                <w:lang w:val="en-US" w:eastAsia="en-GB"/>
              </w:rPr>
              <w:t>RAG Status</w:t>
            </w:r>
            <w:r w:rsidRPr="00570F59">
              <w:rPr>
                <w:rFonts w:cs="Arial"/>
                <w:szCs w:val="24"/>
                <w:lang w:eastAsia="en-GB"/>
              </w:rPr>
              <w:t> </w:t>
            </w:r>
          </w:p>
        </w:tc>
      </w:tr>
      <w:tr w:rsidR="00570F59" w:rsidRPr="00570F59" w14:paraId="47993302" w14:textId="77777777" w:rsidTr="003D1B5E">
        <w:tc>
          <w:tcPr>
            <w:tcW w:w="3121" w:type="dxa"/>
            <w:tcBorders>
              <w:top w:val="single" w:sz="6" w:space="0" w:color="000000"/>
              <w:left w:val="single" w:sz="6" w:space="0" w:color="000000"/>
              <w:bottom w:val="single" w:sz="6" w:space="0" w:color="000000"/>
              <w:right w:val="single" w:sz="6" w:space="0" w:color="000000"/>
            </w:tcBorders>
            <w:shd w:val="clear" w:color="auto" w:fill="auto"/>
            <w:hideMark/>
          </w:tcPr>
          <w:p w14:paraId="26889ADF" w14:textId="02681861" w:rsidR="00570F59" w:rsidRPr="00570F59" w:rsidRDefault="001E0349" w:rsidP="00570F59">
            <w:pPr>
              <w:ind w:right="135"/>
              <w:textAlignment w:val="baseline"/>
              <w:rPr>
                <w:rFonts w:ascii="Times New Roman" w:hAnsi="Times New Roman"/>
                <w:szCs w:val="24"/>
                <w:lang w:eastAsia="en-GB"/>
              </w:rPr>
            </w:pPr>
            <w:r>
              <w:rPr>
                <w:rFonts w:cs="Arial"/>
                <w:szCs w:val="24"/>
                <w:lang w:eastAsia="en-GB"/>
              </w:rPr>
              <w:t>Non</w:t>
            </w:r>
            <w:r w:rsidRPr="003D1B5E">
              <w:rPr>
                <w:rFonts w:cs="Arial"/>
                <w:bCs/>
                <w:szCs w:val="24"/>
                <w:lang w:eastAsia="en-GB"/>
              </w:rPr>
              <w:t>-compl</w:t>
            </w:r>
            <w:r>
              <w:rPr>
                <w:rFonts w:cs="Arial"/>
                <w:bCs/>
                <w:szCs w:val="24"/>
                <w:lang w:eastAsia="en-GB"/>
              </w:rPr>
              <w:t>iance</w:t>
            </w:r>
            <w:r w:rsidR="003D1B5E" w:rsidRPr="003D1B5E">
              <w:rPr>
                <w:rFonts w:cs="Arial"/>
                <w:bCs/>
                <w:szCs w:val="24"/>
                <w:lang w:eastAsia="en-GB"/>
              </w:rPr>
              <w:t xml:space="preserve"> with </w:t>
            </w:r>
            <w:r w:rsidR="003D1B5E" w:rsidRPr="003D1B5E">
              <w:rPr>
                <w:rFonts w:cs="Arial"/>
                <w:bCs/>
                <w:iCs/>
                <w:szCs w:val="24"/>
                <w:lang w:eastAsia="en-GB"/>
              </w:rPr>
              <w:t>Regulation 6 of the Accounts and Audit Regulations 2015</w:t>
            </w:r>
          </w:p>
        </w:tc>
        <w:tc>
          <w:tcPr>
            <w:tcW w:w="3176" w:type="dxa"/>
            <w:tcBorders>
              <w:top w:val="single" w:sz="6" w:space="0" w:color="000000"/>
              <w:left w:val="single" w:sz="6" w:space="0" w:color="000000"/>
              <w:bottom w:val="single" w:sz="6" w:space="0" w:color="000000"/>
              <w:right w:val="single" w:sz="6" w:space="0" w:color="000000"/>
            </w:tcBorders>
            <w:shd w:val="clear" w:color="auto" w:fill="auto"/>
            <w:hideMark/>
          </w:tcPr>
          <w:p w14:paraId="61AA2ED5" w14:textId="66697870" w:rsidR="00570F59" w:rsidRPr="003D1B5E" w:rsidRDefault="003D1B5E" w:rsidP="003D1B5E">
            <w:pPr>
              <w:pStyle w:val="ListParagraph"/>
              <w:numPr>
                <w:ilvl w:val="0"/>
                <w:numId w:val="20"/>
              </w:numPr>
              <w:textAlignment w:val="baseline"/>
            </w:pPr>
            <w:r w:rsidRPr="003D1B5E">
              <w:t>The annual review of governance</w:t>
            </w:r>
          </w:p>
          <w:p w14:paraId="773E5E57" w14:textId="6233518D" w:rsidR="003D1B5E" w:rsidRPr="003D1B5E" w:rsidRDefault="003D1B5E" w:rsidP="003D1B5E">
            <w:pPr>
              <w:pStyle w:val="ListParagraph"/>
              <w:numPr>
                <w:ilvl w:val="0"/>
                <w:numId w:val="20"/>
              </w:numPr>
              <w:textAlignment w:val="baseline"/>
            </w:pPr>
            <w:r w:rsidRPr="003D1B5E">
              <w:t>Preparation and publication of the AGS</w:t>
            </w:r>
            <w:r>
              <w:t xml:space="preserve"> with the accounts</w:t>
            </w:r>
          </w:p>
          <w:p w14:paraId="58D388B4" w14:textId="77777777" w:rsidR="00570F59" w:rsidRPr="00570F59" w:rsidRDefault="00570F59" w:rsidP="003D1B5E">
            <w:pPr>
              <w:textAlignment w:val="baseline"/>
              <w:rPr>
                <w:rFonts w:cs="Arial"/>
                <w:color w:val="000000"/>
                <w:sz w:val="22"/>
                <w:szCs w:val="22"/>
                <w:lang w:eastAsia="en-GB"/>
              </w:rPr>
            </w:pPr>
            <w:r w:rsidRPr="00570F59">
              <w:rPr>
                <w:rFonts w:cs="Arial"/>
                <w:color w:val="000000"/>
                <w:sz w:val="22"/>
                <w:szCs w:val="22"/>
                <w:lang w:eastAsia="en-GB"/>
              </w:rPr>
              <w:t> </w:t>
            </w:r>
          </w:p>
          <w:p w14:paraId="46304DBD" w14:textId="77777777" w:rsidR="00570F59" w:rsidRPr="00570F59" w:rsidRDefault="00570F59" w:rsidP="003D1B5E">
            <w:pPr>
              <w:textAlignment w:val="baseline"/>
              <w:rPr>
                <w:rFonts w:cs="Arial"/>
                <w:color w:val="000000"/>
                <w:sz w:val="22"/>
                <w:szCs w:val="22"/>
                <w:lang w:eastAsia="en-GB"/>
              </w:rPr>
            </w:pPr>
            <w:r w:rsidRPr="00570F59">
              <w:rPr>
                <w:rFonts w:cs="Arial"/>
                <w:color w:val="000000"/>
                <w:sz w:val="22"/>
                <w:szCs w:val="22"/>
                <w:lang w:eastAsia="en-GB"/>
              </w:rPr>
              <w:t> </w:t>
            </w:r>
          </w:p>
        </w:tc>
        <w:tc>
          <w:tcPr>
            <w:tcW w:w="1996" w:type="dxa"/>
            <w:tcBorders>
              <w:top w:val="single" w:sz="6" w:space="0" w:color="000000"/>
              <w:left w:val="single" w:sz="6" w:space="0" w:color="000000"/>
              <w:bottom w:val="single" w:sz="6" w:space="0" w:color="000000"/>
              <w:right w:val="single" w:sz="6" w:space="0" w:color="000000"/>
            </w:tcBorders>
            <w:shd w:val="clear" w:color="auto" w:fill="92D050"/>
            <w:hideMark/>
          </w:tcPr>
          <w:p w14:paraId="27A6DDD6" w14:textId="77777777" w:rsidR="00570F59" w:rsidRPr="00570F59" w:rsidRDefault="00570F59" w:rsidP="00570F59">
            <w:pPr>
              <w:ind w:left="165" w:right="135"/>
              <w:textAlignment w:val="baseline"/>
              <w:rPr>
                <w:rFonts w:ascii="Times New Roman" w:hAnsi="Times New Roman"/>
                <w:szCs w:val="24"/>
                <w:lang w:eastAsia="en-GB"/>
              </w:rPr>
            </w:pPr>
            <w:r w:rsidRPr="00570F59">
              <w:rPr>
                <w:rFonts w:cs="Arial"/>
                <w:szCs w:val="24"/>
                <w:lang w:val="en-US" w:eastAsia="en-GB"/>
              </w:rPr>
              <w:t>Green</w:t>
            </w:r>
            <w:r w:rsidRPr="00570F59">
              <w:rPr>
                <w:rFonts w:cs="Arial"/>
                <w:szCs w:val="24"/>
                <w:lang w:eastAsia="en-GB"/>
              </w:rPr>
              <w:t> </w:t>
            </w: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2D96B0F8" w:rsidR="003D1B5E" w:rsidRPr="00570F59" w:rsidRDefault="003D1B5E" w:rsidP="003D1B5E">
      <w:pPr>
        <w:rPr>
          <w:rFonts w:cs="Arial"/>
          <w:color w:val="0000FF"/>
          <w:szCs w:val="24"/>
          <w:lang w:eastAsia="en-GB"/>
        </w:rPr>
      </w:pPr>
      <w:r>
        <w:t>n/a</w:t>
      </w:r>
    </w:p>
    <w:p w14:paraId="69680960" w14:textId="744701A0" w:rsidR="00570F59" w:rsidRPr="00570F59" w:rsidRDefault="00570F59" w:rsidP="00570F59">
      <w:pPr>
        <w:textAlignment w:val="baseline"/>
        <w:rPr>
          <w:rFonts w:ascii="Segoe UI" w:hAnsi="Segoe UI" w:cs="Segoe UI"/>
          <w:sz w:val="18"/>
          <w:szCs w:val="18"/>
          <w:lang w:eastAsia="en-GB"/>
        </w:rPr>
      </w:pPr>
      <w:r w:rsidRPr="00570F59">
        <w:rPr>
          <w:rFonts w:cs="Arial"/>
          <w:color w:val="0000FF"/>
          <w:szCs w:val="24"/>
          <w:lang w:eastAsia="en-GB"/>
        </w:rPr>
        <w:t>   </w:t>
      </w:r>
    </w:p>
    <w:p w14:paraId="1EF4F8CB" w14:textId="77777777" w:rsidR="004B4A47" w:rsidRPr="00CD57D8" w:rsidRDefault="00AC0AAB" w:rsidP="00912904">
      <w:pPr>
        <w:pStyle w:val="Heading2"/>
        <w:spacing w:after="240"/>
      </w:pPr>
      <w:r>
        <w:t xml:space="preserve">Council </w:t>
      </w:r>
      <w:r w:rsidR="004B4A47" w:rsidRPr="00CD57D8">
        <w:t>Priorities</w:t>
      </w:r>
    </w:p>
    <w:p w14:paraId="35AC17E3" w14:textId="77777777" w:rsidR="003D1B5E" w:rsidRPr="003D1B5E" w:rsidRDefault="003D1B5E" w:rsidP="003D1B5E">
      <w:pPr>
        <w:rPr>
          <w:rFonts w:cs="Arial"/>
          <w:bCs/>
          <w:szCs w:val="24"/>
          <w:lang w:val="en-US"/>
        </w:rPr>
      </w:pPr>
      <w:r w:rsidRPr="003D1B5E">
        <w:rPr>
          <w:rFonts w:cs="Arial"/>
          <w:bCs/>
          <w:szCs w:val="24"/>
          <w:lang w:val="en-US"/>
        </w:rPr>
        <w:t>The annual review of governance reviews arrangements in place to ensure that the intended positive outcomes for residents as outlined by the Council’s priorities are achieved.</w:t>
      </w:r>
    </w:p>
    <w:p w14:paraId="14ED332C" w14:textId="77777777" w:rsidR="00EF2F91" w:rsidRPr="00400032" w:rsidRDefault="00EF2F91" w:rsidP="00EF2F91"/>
    <w:p w14:paraId="6AD0CF03"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Improving the environment and addressing climate change</w:t>
      </w:r>
    </w:p>
    <w:p w14:paraId="67A2907C" w14:textId="77777777" w:rsidR="005031DF" w:rsidRPr="005031DF" w:rsidRDefault="005031DF" w:rsidP="005031DF">
      <w:pPr>
        <w:autoSpaceDE w:val="0"/>
        <w:autoSpaceDN w:val="0"/>
        <w:rPr>
          <w:rFonts w:ascii="Arial Bold" w:hAnsi="Arial Bold"/>
          <w:b/>
          <w:bCs/>
        </w:rPr>
      </w:pPr>
    </w:p>
    <w:p w14:paraId="628DE28D"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Tackling poverty and inequality</w:t>
      </w:r>
    </w:p>
    <w:p w14:paraId="78391E93" w14:textId="77777777" w:rsidR="005031DF" w:rsidRPr="005031DF" w:rsidRDefault="005031DF" w:rsidP="005031DF">
      <w:pPr>
        <w:autoSpaceDE w:val="0"/>
        <w:autoSpaceDN w:val="0"/>
        <w:rPr>
          <w:rFonts w:ascii="Arial Bold" w:hAnsi="Arial Bold"/>
          <w:b/>
          <w:bCs/>
        </w:rPr>
      </w:pPr>
    </w:p>
    <w:p w14:paraId="4256E80F" w14:textId="77777777" w:rsidR="005031DF" w:rsidRPr="005031DF" w:rsidRDefault="005031DF" w:rsidP="005031DF">
      <w:pPr>
        <w:pStyle w:val="ListParagraph"/>
        <w:numPr>
          <w:ilvl w:val="0"/>
          <w:numId w:val="9"/>
        </w:numPr>
        <w:autoSpaceDE w:val="0"/>
        <w:autoSpaceDN w:val="0"/>
        <w:contextualSpacing/>
        <w:rPr>
          <w:rFonts w:ascii="Arial Bold" w:hAnsi="Arial Bold"/>
          <w:b/>
          <w:bCs/>
          <w:sz w:val="24"/>
        </w:rPr>
      </w:pPr>
      <w:r w:rsidRPr="005031DF">
        <w:rPr>
          <w:rFonts w:ascii="Arial Bold" w:hAnsi="Arial Bold"/>
          <w:b/>
          <w:sz w:val="24"/>
        </w:rPr>
        <w:t>Building homes and infrastructure</w:t>
      </w:r>
    </w:p>
    <w:p w14:paraId="1B116EA1" w14:textId="77777777" w:rsidR="005031DF" w:rsidRPr="005031DF" w:rsidRDefault="005031DF" w:rsidP="005031DF">
      <w:pPr>
        <w:autoSpaceDE w:val="0"/>
        <w:autoSpaceDN w:val="0"/>
        <w:rPr>
          <w:rFonts w:ascii="Arial Bold" w:hAnsi="Arial Bold"/>
        </w:rPr>
      </w:pPr>
    </w:p>
    <w:p w14:paraId="06CDCE8A"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Addressing health and social care inequality</w:t>
      </w:r>
    </w:p>
    <w:p w14:paraId="20793284" w14:textId="77777777" w:rsidR="005031DF" w:rsidRPr="005031DF" w:rsidRDefault="005031DF" w:rsidP="005031DF">
      <w:pPr>
        <w:autoSpaceDE w:val="0"/>
        <w:autoSpaceDN w:val="0"/>
        <w:rPr>
          <w:rFonts w:ascii="Arial Bold" w:hAnsi="Arial Bold"/>
        </w:rPr>
      </w:pPr>
    </w:p>
    <w:p w14:paraId="6493B623" w14:textId="77777777" w:rsidR="005031DF" w:rsidRPr="005031DF" w:rsidRDefault="005031DF" w:rsidP="005031DF">
      <w:pPr>
        <w:pStyle w:val="ListParagraph"/>
        <w:numPr>
          <w:ilvl w:val="0"/>
          <w:numId w:val="9"/>
        </w:numPr>
        <w:autoSpaceDE w:val="0"/>
        <w:autoSpaceDN w:val="0"/>
        <w:contextualSpacing/>
        <w:rPr>
          <w:rFonts w:ascii="Arial Bold" w:hAnsi="Arial Bold"/>
          <w:b/>
          <w:sz w:val="24"/>
        </w:rPr>
      </w:pPr>
      <w:r w:rsidRPr="005031DF">
        <w:rPr>
          <w:rFonts w:ascii="Arial Bold" w:hAnsi="Arial Bold"/>
          <w:b/>
          <w:sz w:val="24"/>
        </w:rPr>
        <w:t>Thriving economy</w:t>
      </w:r>
    </w:p>
    <w:p w14:paraId="11BF41CC" w14:textId="77777777" w:rsidR="002A2389" w:rsidRDefault="002A2389" w:rsidP="00912904">
      <w:pPr>
        <w:pStyle w:val="Heading2"/>
      </w:pPr>
      <w:r>
        <w:t>Section 3 - Statutory Officer Clearance</w:t>
      </w:r>
    </w:p>
    <w:p w14:paraId="1816AD9B" w14:textId="77777777" w:rsidR="00377EC2" w:rsidRDefault="00377EC2" w:rsidP="000A58A1">
      <w:pPr>
        <w:keepNext/>
        <w:rPr>
          <w:rFonts w:cs="Arial"/>
          <w:szCs w:val="24"/>
        </w:rPr>
      </w:pPr>
    </w:p>
    <w:p w14:paraId="714BE3DB" w14:textId="06305EB7" w:rsidR="000A58A1" w:rsidRPr="00377EC2" w:rsidRDefault="003D1B5E" w:rsidP="000A58A1">
      <w:pPr>
        <w:keepNext/>
        <w:rPr>
          <w:rFonts w:cs="Arial"/>
          <w:szCs w:val="24"/>
        </w:rPr>
      </w:pPr>
      <w:r w:rsidRPr="00377EC2">
        <w:rPr>
          <w:rFonts w:cs="Arial"/>
          <w:szCs w:val="24"/>
        </w:rPr>
        <w:t>As this is an information report no clearances are necessary</w:t>
      </w:r>
      <w:r w:rsidR="00377EC2">
        <w:rPr>
          <w:rFonts w:cs="Arial"/>
          <w:szCs w:val="24"/>
        </w:rPr>
        <w:t xml:space="preserve"> however it should be noted that the draft Annual Governance Statement has been </w:t>
      </w:r>
      <w:r w:rsidR="00377EC2">
        <w:rPr>
          <w:rFonts w:cs="Arial"/>
          <w:szCs w:val="24"/>
        </w:rPr>
        <w:lastRenderedPageBreak/>
        <w:t xml:space="preserve">reviewed by the Director of Finance &amp; Assurance, the Chief </w:t>
      </w:r>
      <w:proofErr w:type="gramStart"/>
      <w:r w:rsidR="00377EC2">
        <w:rPr>
          <w:rFonts w:cs="Arial"/>
          <w:szCs w:val="24"/>
        </w:rPr>
        <w:t>Executive</w:t>
      </w:r>
      <w:proofErr w:type="gramEnd"/>
      <w:r w:rsidR="00377EC2">
        <w:rPr>
          <w:rFonts w:cs="Arial"/>
          <w:szCs w:val="24"/>
        </w:rPr>
        <w:t xml:space="preserve"> and the Leader of the Council.</w:t>
      </w:r>
    </w:p>
    <w:p w14:paraId="686CE5D8" w14:textId="77777777" w:rsidR="00912904" w:rsidRPr="00435B5D" w:rsidRDefault="00912904" w:rsidP="00912904">
      <w:pPr>
        <w:pStyle w:val="Heading2"/>
        <w:spacing w:after="240"/>
      </w:pPr>
      <w:r>
        <w:t>Mandatory Checks</w:t>
      </w:r>
    </w:p>
    <w:p w14:paraId="34BA8136" w14:textId="77777777" w:rsidR="00912904" w:rsidRPr="00E90AFF" w:rsidRDefault="00912904" w:rsidP="00E90AFF">
      <w:pPr>
        <w:pStyle w:val="Heading3"/>
        <w:ind w:left="0" w:firstLine="0"/>
        <w:rPr>
          <w:sz w:val="28"/>
        </w:rPr>
      </w:pPr>
      <w:r w:rsidRPr="00E90AFF">
        <w:rPr>
          <w:sz w:val="28"/>
        </w:rPr>
        <w:t xml:space="preserve">Ward Councillors notified:  </w:t>
      </w:r>
      <w:r w:rsidRPr="003D1B5E">
        <w:rPr>
          <w:strike/>
          <w:sz w:val="28"/>
        </w:rPr>
        <w:t>YES*</w:t>
      </w:r>
      <w:r w:rsidRPr="00E90AFF">
        <w:rPr>
          <w:sz w:val="28"/>
        </w:rPr>
        <w:t xml:space="preserve">/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62064013" w:rsidR="002A2389" w:rsidRDefault="002A2389">
      <w:pPr>
        <w:pStyle w:val="Infotext"/>
      </w:pPr>
      <w:r w:rsidRPr="00D914D2">
        <w:rPr>
          <w:b/>
        </w:rPr>
        <w:t>Contact:</w:t>
      </w:r>
      <w:r>
        <w:t xml:space="preserve">  </w:t>
      </w:r>
      <w:r w:rsidR="00377EC2">
        <w:t>Susan Dixson,</w:t>
      </w:r>
      <w:r>
        <w:rPr>
          <w:rFonts w:cs="Arial"/>
          <w:sz w:val="24"/>
        </w:rPr>
        <w:t xml:space="preserve"> </w:t>
      </w:r>
      <w:r w:rsidR="00377EC2">
        <w:rPr>
          <w:rFonts w:cs="Arial"/>
          <w:sz w:val="24"/>
        </w:rPr>
        <w:t>Head of Internal Audit &amp; Corporate Anti-Fraud</w:t>
      </w:r>
      <w:r>
        <w:rPr>
          <w:rFonts w:cs="Arial"/>
          <w:sz w:val="24"/>
        </w:rPr>
        <w:t xml:space="preserve">, </w:t>
      </w:r>
      <w:r w:rsidR="00377EC2">
        <w:rPr>
          <w:rFonts w:cs="Arial"/>
          <w:sz w:val="24"/>
        </w:rPr>
        <w:t>02084241420</w:t>
      </w:r>
    </w:p>
    <w:p w14:paraId="28AF6FE8" w14:textId="437F5879" w:rsidR="002A2389" w:rsidRDefault="002A2389" w:rsidP="00912904">
      <w:pPr>
        <w:pStyle w:val="Infotext"/>
        <w:spacing w:before="360"/>
      </w:pPr>
      <w:r w:rsidRPr="00D914D2">
        <w:rPr>
          <w:b/>
        </w:rPr>
        <w:t>Background Papers</w:t>
      </w:r>
      <w:r>
        <w:t xml:space="preserve">:  </w:t>
      </w:r>
      <w:r w:rsidR="00377EC2">
        <w:t>None</w:t>
      </w:r>
      <w:r>
        <w:rPr>
          <w:rFonts w:cs="Arial"/>
          <w:sz w:val="24"/>
        </w:rPr>
        <w:t>.</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77777777" w:rsidR="00912904" w:rsidRDefault="00912904">
      <w:pPr>
        <w:pStyle w:val="Infotext"/>
        <w:tabs>
          <w:tab w:val="left" w:pos="656"/>
          <w:tab w:val="left" w:pos="6399"/>
        </w:tabs>
      </w:pPr>
      <w:r>
        <w:t>1.</w:t>
      </w:r>
      <w:r>
        <w:tab/>
        <w:t xml:space="preserve">Consultation </w:t>
      </w:r>
      <w:r>
        <w:tab/>
      </w:r>
      <w:r w:rsidRPr="00377EC2">
        <w:rPr>
          <w:strike/>
        </w:rPr>
        <w:t>YES</w:t>
      </w:r>
      <w:r>
        <w:t xml:space="preserve"> / NO</w:t>
      </w:r>
    </w:p>
    <w:p w14:paraId="0AC2AC5C" w14:textId="77777777" w:rsidR="00912904" w:rsidRDefault="00912904">
      <w:pPr>
        <w:pStyle w:val="Infotext"/>
        <w:tabs>
          <w:tab w:val="left" w:pos="656"/>
          <w:tab w:val="left" w:pos="6399"/>
        </w:tabs>
      </w:pPr>
      <w:r>
        <w:t>2.</w:t>
      </w:r>
      <w:r>
        <w:tab/>
        <w:t>Priorities</w:t>
      </w:r>
      <w:r>
        <w:tab/>
        <w:t xml:space="preserve">YES / </w:t>
      </w:r>
      <w:r w:rsidRPr="00377EC2">
        <w:rPr>
          <w:strike/>
        </w:rPr>
        <w:t>NO</w:t>
      </w:r>
      <w:r>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FS L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466C3"/>
    <w:multiLevelType w:val="hybridMultilevel"/>
    <w:tmpl w:val="5098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021444"/>
    <w:multiLevelType w:val="hybridMultilevel"/>
    <w:tmpl w:val="65C0C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4"/>
  </w:num>
  <w:num w:numId="11">
    <w:abstractNumId w:val="18"/>
  </w:num>
  <w:num w:numId="12">
    <w:abstractNumId w:val="13"/>
  </w:num>
  <w:num w:numId="13">
    <w:abstractNumId w:val="2"/>
  </w:num>
  <w:num w:numId="14">
    <w:abstractNumId w:val="5"/>
  </w:num>
  <w:num w:numId="15">
    <w:abstractNumId w:val="10"/>
  </w:num>
  <w:num w:numId="16">
    <w:abstractNumId w:val="9"/>
  </w:num>
  <w:num w:numId="17">
    <w:abstractNumId w:val="17"/>
  </w:num>
  <w:num w:numId="18">
    <w:abstractNumId w:val="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1E0349"/>
    <w:rsid w:val="001F7AA3"/>
    <w:rsid w:val="00213BE7"/>
    <w:rsid w:val="00231A1D"/>
    <w:rsid w:val="00244120"/>
    <w:rsid w:val="00293F9F"/>
    <w:rsid w:val="002A2389"/>
    <w:rsid w:val="002C08E2"/>
    <w:rsid w:val="002C1794"/>
    <w:rsid w:val="002D2FC5"/>
    <w:rsid w:val="002E6637"/>
    <w:rsid w:val="002E77E3"/>
    <w:rsid w:val="002F491E"/>
    <w:rsid w:val="0030163B"/>
    <w:rsid w:val="00332947"/>
    <w:rsid w:val="00333EB4"/>
    <w:rsid w:val="00345915"/>
    <w:rsid w:val="00365D29"/>
    <w:rsid w:val="00374F22"/>
    <w:rsid w:val="00377EC2"/>
    <w:rsid w:val="003D1B5E"/>
    <w:rsid w:val="003D2FFE"/>
    <w:rsid w:val="003E7417"/>
    <w:rsid w:val="00400032"/>
    <w:rsid w:val="0042394B"/>
    <w:rsid w:val="004673D2"/>
    <w:rsid w:val="00473B08"/>
    <w:rsid w:val="00474B5F"/>
    <w:rsid w:val="004A3CE6"/>
    <w:rsid w:val="004A4A1D"/>
    <w:rsid w:val="004B2C9D"/>
    <w:rsid w:val="004B4A47"/>
    <w:rsid w:val="004E4124"/>
    <w:rsid w:val="004E667D"/>
    <w:rsid w:val="004E6AF9"/>
    <w:rsid w:val="005031DF"/>
    <w:rsid w:val="00570F59"/>
    <w:rsid w:val="00597314"/>
    <w:rsid w:val="005A61AF"/>
    <w:rsid w:val="005D0886"/>
    <w:rsid w:val="005E384D"/>
    <w:rsid w:val="005F2181"/>
    <w:rsid w:val="005F724B"/>
    <w:rsid w:val="00625DFF"/>
    <w:rsid w:val="0063072B"/>
    <w:rsid w:val="00662891"/>
    <w:rsid w:val="006628B7"/>
    <w:rsid w:val="00670928"/>
    <w:rsid w:val="00675FCB"/>
    <w:rsid w:val="006A0B87"/>
    <w:rsid w:val="006B3942"/>
    <w:rsid w:val="006C3914"/>
    <w:rsid w:val="006D3648"/>
    <w:rsid w:val="006E09FA"/>
    <w:rsid w:val="0074184E"/>
    <w:rsid w:val="00743829"/>
    <w:rsid w:val="007454CB"/>
    <w:rsid w:val="00755F8D"/>
    <w:rsid w:val="007905BD"/>
    <w:rsid w:val="00796503"/>
    <w:rsid w:val="007D2BDA"/>
    <w:rsid w:val="007D56C8"/>
    <w:rsid w:val="007E3934"/>
    <w:rsid w:val="007E7303"/>
    <w:rsid w:val="008212A0"/>
    <w:rsid w:val="00837F53"/>
    <w:rsid w:val="00860E51"/>
    <w:rsid w:val="00894468"/>
    <w:rsid w:val="008D1750"/>
    <w:rsid w:val="008D7800"/>
    <w:rsid w:val="008E2910"/>
    <w:rsid w:val="008E4913"/>
    <w:rsid w:val="00900464"/>
    <w:rsid w:val="0090100E"/>
    <w:rsid w:val="00905111"/>
    <w:rsid w:val="00912904"/>
    <w:rsid w:val="00913755"/>
    <w:rsid w:val="0093767E"/>
    <w:rsid w:val="00972A02"/>
    <w:rsid w:val="0099517C"/>
    <w:rsid w:val="00995AA0"/>
    <w:rsid w:val="009A0937"/>
    <w:rsid w:val="009B2ECD"/>
    <w:rsid w:val="009B7914"/>
    <w:rsid w:val="009F430B"/>
    <w:rsid w:val="00A160B2"/>
    <w:rsid w:val="00A566E7"/>
    <w:rsid w:val="00A940D3"/>
    <w:rsid w:val="00A96FCA"/>
    <w:rsid w:val="00AA4BE8"/>
    <w:rsid w:val="00AC0AAB"/>
    <w:rsid w:val="00AC7BA9"/>
    <w:rsid w:val="00AD1983"/>
    <w:rsid w:val="00AD7BE0"/>
    <w:rsid w:val="00B0425E"/>
    <w:rsid w:val="00B900E2"/>
    <w:rsid w:val="00B9118E"/>
    <w:rsid w:val="00BA35EA"/>
    <w:rsid w:val="00BD6115"/>
    <w:rsid w:val="00BD684A"/>
    <w:rsid w:val="00BE380F"/>
    <w:rsid w:val="00C32DAE"/>
    <w:rsid w:val="00C40E24"/>
    <w:rsid w:val="00C61B80"/>
    <w:rsid w:val="00C92D9A"/>
    <w:rsid w:val="00C930BD"/>
    <w:rsid w:val="00C96EF5"/>
    <w:rsid w:val="00D25064"/>
    <w:rsid w:val="00D32B51"/>
    <w:rsid w:val="00D34668"/>
    <w:rsid w:val="00D3740E"/>
    <w:rsid w:val="00D40335"/>
    <w:rsid w:val="00D533B3"/>
    <w:rsid w:val="00D60EE6"/>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33EE3"/>
    <w:rsid w:val="00F4213B"/>
    <w:rsid w:val="00F77B20"/>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3D2"/>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table" w:styleId="TableGrid">
    <w:name w:val="Table Grid"/>
    <w:basedOn w:val="TableNormal"/>
    <w:rsid w:val="002F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08877">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1815</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12162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Susan Dixson</cp:lastModifiedBy>
  <cp:revision>5</cp:revision>
  <cp:lastPrinted>2007-07-12T09:53:00Z</cp:lastPrinted>
  <dcterms:created xsi:type="dcterms:W3CDTF">2022-07-20T15:04:00Z</dcterms:created>
  <dcterms:modified xsi:type="dcterms:W3CDTF">2022-07-22T14:02:00Z</dcterms:modified>
</cp:coreProperties>
</file>